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center"/>
        <w:rPr>
          <w:rFonts w:ascii="方正小标宋简体" w:eastAsia="方正小标宋简体"/>
          <w:color w:val="FF0000"/>
          <w:w w:val="50"/>
          <w:sz w:val="100"/>
          <w:szCs w:val="100"/>
        </w:rPr>
      </w:pPr>
    </w:p>
    <w:p>
      <w:pPr>
        <w:jc w:val="center"/>
        <w:rPr>
          <w:rFonts w:ascii="方正小标宋简体" w:eastAsia="方正小标宋简体"/>
          <w:snapToGrid w:val="0"/>
          <w:color w:val="FF0000"/>
          <w:spacing w:val="-20"/>
          <w:w w:val="46"/>
          <w:kern w:val="0"/>
          <w:sz w:val="136"/>
          <w:szCs w:val="136"/>
        </w:rPr>
      </w:pPr>
      <w:r>
        <w:rPr>
          <w:rFonts w:hint="eastAsia" w:ascii="方正小标宋简体" w:eastAsia="方正小标宋简体"/>
          <w:snapToGrid w:val="0"/>
          <w:color w:val="FF0000"/>
          <w:spacing w:val="-20"/>
          <w:w w:val="46"/>
          <w:kern w:val="0"/>
          <w:sz w:val="136"/>
          <w:szCs w:val="136"/>
        </w:rPr>
        <w:t>中共威海海洋职业学院委员会文件</w:t>
      </w:r>
    </w:p>
    <w:p>
      <w:pPr>
        <w:rPr>
          <w:rFonts w:ascii="仿宋_GB2312" w:eastAsia="仿宋_GB2312"/>
          <w:color w:val="FF0000"/>
          <w:sz w:val="32"/>
          <w:szCs w:val="32"/>
        </w:rPr>
      </w:pPr>
    </w:p>
    <w:p>
      <w:pPr>
        <w:jc w:val="center"/>
        <w:rPr>
          <w:rFonts w:ascii="仿宋_GB2312" w:eastAsia="仿宋_GB2312"/>
          <w:color w:val="FF0000"/>
          <w:sz w:val="32"/>
          <w:szCs w:val="32"/>
        </w:rPr>
      </w:pPr>
      <w:r>
        <w:rPr>
          <w:rFonts w:hint="eastAsia" w:ascii="仿宋_GB2312" w:eastAsia="仿宋_GB2312"/>
          <w:sz w:val="32"/>
          <w:szCs w:val="32"/>
        </w:rPr>
        <w:t>威海职院党字〔2021〕3号</w:t>
      </w:r>
    </w:p>
    <w:p>
      <w:pPr>
        <w:snapToGrid w:val="0"/>
        <w:spacing w:line="560" w:lineRule="exact"/>
        <w:rPr>
          <w:rFonts w:ascii="仿宋_GB2312" w:eastAsia="仿宋_GB2312"/>
          <w:sz w:val="32"/>
          <w:szCs w:val="32"/>
        </w:rPr>
      </w:pPr>
      <w:r>
        <w:rPr>
          <w:rFonts w:hint="eastAsia" w:ascii="仿宋_GB2312" w:hAnsi="仿宋_GB2312" w:eastAsia="仿宋_GB2312" w:cs="仿宋_GB2312"/>
          <w:color w:val="FF0000"/>
          <w:spacing w:val="-20"/>
          <w:kern w:val="0"/>
          <w:sz w:val="136"/>
          <w:szCs w:val="136"/>
        </w:rPr>
        <mc:AlternateContent>
          <mc:Choice Requires="wps">
            <w:drawing>
              <wp:anchor distT="0" distB="0" distL="114300" distR="114300" simplePos="0" relativeHeight="251663360" behindDoc="0" locked="0" layoutInCell="1" allowOverlap="1">
                <wp:simplePos x="0" y="0"/>
                <wp:positionH relativeFrom="column">
                  <wp:posOffset>2654935</wp:posOffset>
                </wp:positionH>
                <wp:positionV relativeFrom="paragraph">
                  <wp:posOffset>-64770</wp:posOffset>
                </wp:positionV>
                <wp:extent cx="309245" cy="309245"/>
                <wp:effectExtent l="0" t="0" r="14605" b="14605"/>
                <wp:wrapNone/>
                <wp:docPr id="12" name="五角星 12"/>
                <wp:cNvGraphicFramePr/>
                <a:graphic xmlns:a="http://schemas.openxmlformats.org/drawingml/2006/main">
                  <a:graphicData uri="http://schemas.microsoft.com/office/word/2010/wordprocessingShape">
                    <wps:wsp>
                      <wps:cNvSpPr/>
                      <wps:spPr>
                        <a:xfrm>
                          <a:off x="0" y="0"/>
                          <a:ext cx="309245" cy="309245"/>
                        </a:xfrm>
                        <a:prstGeom prst="star5">
                          <a:avLst/>
                        </a:prstGeom>
                        <a:solidFill>
                          <a:srgbClr val="FF0000"/>
                        </a:solidFill>
                        <a:ln w="12700" cmpd="sng">
                          <a:no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209.05pt;margin-top:-5.1pt;height:24.35pt;width:24.35pt;z-index:251663360;v-text-anchor:middle;mso-width-relative:page;mso-height-relative:page;" fillcolor="#FF0000" filled="t" stroked="f" coordsize="309245,309245" o:gfxdata="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uVcshN0AAAAKAQAADwAAAAAAAAABACAAAAAiAAAAZHJzL2Rvd25yZXYueG1sUEsB&#10;AhQAFAAAAAgAh07iQF2LnSViAgAAuQQAAA4AAAAAAAAAAQAgAAAALAEAAGRycy9lMm9Eb2MueG1s&#10;UEsFBgAAAAAGAAYAWQEAAAAGAAAAAA==&#10;" path="m0,118120l118121,118121,154622,0,191123,118121,309244,118120,213681,191123,250184,309244,154622,236240,59060,309244,95563,191123xe">
                <v:path o:connectlocs="154622,0;0,118120;59060,309244;250184,309244;309244,118120" o:connectangles="247,164,82,82,0"/>
                <v:fill on="t" focussize="0,0"/>
                <v:stroke on="f" weight="1pt"/>
                <v:imagedata o:title=""/>
                <o:lock v:ext="edit" aspectratio="f"/>
              </v:shape>
            </w:pict>
          </mc:Fallback>
        </mc:AlternateContent>
      </w:r>
      <w:r>
        <w:rPr>
          <w:rFonts w:hint="eastAsia" w:ascii="方正小标宋简体" w:eastAsia="方正小标宋简体"/>
          <w:color w:val="FF0000"/>
          <w:sz w:val="72"/>
        </w:rPr>
        <mc:AlternateContent>
          <mc:Choice Requires="wps">
            <w:drawing>
              <wp:anchor distT="0" distB="0" distL="114300" distR="114300" simplePos="0" relativeHeight="251662336" behindDoc="0" locked="0" layoutInCell="1" allowOverlap="1">
                <wp:simplePos x="0" y="0"/>
                <wp:positionH relativeFrom="column">
                  <wp:posOffset>2973705</wp:posOffset>
                </wp:positionH>
                <wp:positionV relativeFrom="page">
                  <wp:posOffset>4635500</wp:posOffset>
                </wp:positionV>
                <wp:extent cx="2639695" cy="0"/>
                <wp:effectExtent l="0" t="19050" r="8255" b="19050"/>
                <wp:wrapNone/>
                <wp:docPr id="10" name="直接连接符 10"/>
                <wp:cNvGraphicFramePr/>
                <a:graphic xmlns:a="http://schemas.openxmlformats.org/drawingml/2006/main">
                  <a:graphicData uri="http://schemas.microsoft.com/office/word/2010/wordprocessingShape">
                    <wps:wsp>
                      <wps:cNvCnPr/>
                      <wps:spPr>
                        <a:xfrm>
                          <a:off x="0" y="0"/>
                          <a:ext cx="2639833" cy="0"/>
                        </a:xfrm>
                        <a:prstGeom prst="line">
                          <a:avLst/>
                        </a:prstGeom>
                        <a:ln w="381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234.15pt;margin-top:365pt;height:0pt;width:207.85pt;mso-position-vertical-relative:page;z-index:251662336;mso-width-relative:page;mso-height-relative:page;" filled="f" stroked="t" coordsize="21600,21600" o:gfxdata="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Ba4rovbAAAACwEAAA8A&#10;AAAAAAAAAQAgAAAAIgAAAGRycy9kb3ducmV2LnhtbFBLAQIUABQAAAAIAIdO4kCi2z1u2wEAAJ0D&#10;AAAOAAAAAAAAAAEAIAAAACoBAABkcnMvZTJvRG9jLnhtbFBLBQYAAAAABgAGAFkBAAB3BQAAAAA=&#10;">
                <v:fill on="f" focussize="0,0"/>
                <v:stroke weight="3pt" color="#FF0000 [3204]" joinstyle="round"/>
                <v:imagedata o:title=""/>
                <o:lock v:ext="edit" aspectratio="f"/>
              </v:line>
            </w:pict>
          </mc:Fallback>
        </mc:AlternateContent>
      </w:r>
      <w:r>
        <w:rPr>
          <w:rFonts w:hint="eastAsia" w:ascii="方正小标宋简体" w:eastAsia="方正小标宋简体"/>
          <w:color w:val="FF0000"/>
          <w:sz w:val="72"/>
        </w:rPr>
        <mc:AlternateContent>
          <mc:Choice Requires="wps">
            <w:drawing>
              <wp:anchor distT="0" distB="0" distL="114300" distR="114300" simplePos="0" relativeHeight="251661312" behindDoc="0" locked="0" layoutInCell="1" allowOverlap="1">
                <wp:simplePos x="0" y="0"/>
                <wp:positionH relativeFrom="column">
                  <wp:posOffset>1270</wp:posOffset>
                </wp:positionH>
                <wp:positionV relativeFrom="page">
                  <wp:posOffset>4635500</wp:posOffset>
                </wp:positionV>
                <wp:extent cx="2639695" cy="0"/>
                <wp:effectExtent l="0" t="19050" r="8255" b="19050"/>
                <wp:wrapNone/>
                <wp:docPr id="9" name="直接连接符 9"/>
                <wp:cNvGraphicFramePr/>
                <a:graphic xmlns:a="http://schemas.openxmlformats.org/drawingml/2006/main">
                  <a:graphicData uri="http://schemas.microsoft.com/office/word/2010/wordprocessingShape">
                    <wps:wsp>
                      <wps:cNvCnPr/>
                      <wps:spPr>
                        <a:xfrm>
                          <a:off x="0" y="0"/>
                          <a:ext cx="2639833" cy="0"/>
                        </a:xfrm>
                        <a:prstGeom prst="line">
                          <a:avLst/>
                        </a:prstGeom>
                        <a:ln w="381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1pt;margin-top:365pt;height:0pt;width:207.85pt;mso-position-vertical-relative:page;z-index:251661312;mso-width-relative:page;mso-height-relative:page;" filled="f" stroked="t" coordsize="21600,21600" o:gfxdata="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PoE6qXYAAAACAEAAA8AAAAA&#10;AAAAAQAgAAAAIgAAAGRycy9kb3ducmV2LnhtbFBLAQIUABQAAAAIAIdO4kC87VEJ2wEAAJsDAAAO&#10;AAAAAAAAAAEAIAAAACcBAABkcnMvZTJvRG9jLnhtbFBLBQYAAAAABgAGAFkBAAB0BQAAAAA=&#10;">
                <v:fill on="f" focussize="0,0"/>
                <v:stroke weight="3pt" color="#FF0000 [3204]" joinstyle="round"/>
                <v:imagedata o:title=""/>
                <o:lock v:ext="edit" aspectratio="f"/>
              </v:line>
            </w:pict>
          </mc:Fallback>
        </mc:AlternateContent>
      </w:r>
    </w:p>
    <w:p>
      <w:pPr>
        <w:spacing w:before="289" w:beforeLines="50" w:after="100" w:afterAutospacing="1"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威海海洋职业学院2021年党政工作要点</w:t>
      </w:r>
    </w:p>
    <w:p>
      <w:pPr>
        <w:spacing w:line="560" w:lineRule="exact"/>
        <w:ind w:firstLine="622"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今年工作的总体思路是：以习近平新时代中国特色社会主义思想为指导，以职教高地建设为统领，全面落实立德树人根本任务，在职教高地建设“起步成势”“一年成式”基础上，抓住重点攻坚任务不放松，用足用好政策红利，确保“两年成是”，努力开创“十四五”高质量发展新局面，以优异成绩庆祝建党100周年。</w:t>
      </w:r>
    </w:p>
    <w:p>
      <w:pPr>
        <w:spacing w:line="560" w:lineRule="exact"/>
        <w:ind w:firstLine="622" w:firstLineChars="200"/>
        <w:rPr>
          <w:rFonts w:ascii="Times New Roman" w:hAnsi="Times New Roman" w:eastAsia="宋体" w:cs="Times New Roman"/>
          <w:szCs w:val="24"/>
        </w:rPr>
      </w:pPr>
      <w:r>
        <w:rPr>
          <w:rFonts w:hint="eastAsia" w:ascii="黑体" w:hAnsi="黑体" w:eastAsia="黑体" w:cs="楷体_GB2312"/>
          <w:sz w:val="32"/>
          <w:szCs w:val="32"/>
        </w:rPr>
        <w:t>一、坚定不移抓牢党的建设，引领和保障高质量发展。</w:t>
      </w:r>
    </w:p>
    <w:p>
      <w:pPr>
        <w:autoSpaceDE w:val="0"/>
        <w:autoSpaceDN w:val="0"/>
        <w:adjustRightInd w:val="0"/>
        <w:spacing w:line="560" w:lineRule="exact"/>
        <w:ind w:firstLine="622" w:firstLineChars="200"/>
        <w:jc w:val="left"/>
        <w:rPr>
          <w:rFonts w:ascii="仿宋_GB2312" w:hAnsi="仿宋_GB2312" w:eastAsia="仿宋_GB2312" w:cs="仿宋_GB2312"/>
          <w:color w:val="000000"/>
          <w:kern w:val="0"/>
          <w:sz w:val="32"/>
          <w:szCs w:val="32"/>
        </w:rPr>
      </w:pPr>
      <w:r>
        <w:rPr>
          <w:rFonts w:hint="eastAsia" w:ascii="楷体_GB2312" w:hAnsi="仿宋_GB2312" w:eastAsia="楷体_GB2312" w:cs="仿宋_GB2312"/>
          <w:bCs/>
          <w:color w:val="000000"/>
          <w:kern w:val="0"/>
          <w:sz w:val="32"/>
          <w:szCs w:val="32"/>
        </w:rPr>
        <w:t>1.强化科学理论武装。</w:t>
      </w:r>
      <w:r>
        <w:rPr>
          <w:rFonts w:hint="eastAsia" w:ascii="仿宋_GB2312" w:hAnsi="仿宋_GB2312" w:eastAsia="仿宋_GB2312" w:cs="仿宋_GB2312"/>
          <w:color w:val="000000"/>
          <w:kern w:val="0"/>
          <w:sz w:val="32"/>
          <w:szCs w:val="32"/>
        </w:rPr>
        <w:t>深入开展迎接建党100周年“百年行动”系列活动，全面抓好党委理论中心组学习和干部师生教育培训。深入开展“四史”教育，重点抓好党史学习教育，做到学史明理、学史增信、学史崇德、学史力行。持续巩固深化“不忘初心、牢记使命”主题教育成果，引导干部师生树牢“四个意识”、坚定“四个自信”、做到“两个维护”。</w:t>
      </w:r>
    </w:p>
    <w:p>
      <w:pPr>
        <w:autoSpaceDE w:val="0"/>
        <w:autoSpaceDN w:val="0"/>
        <w:adjustRightInd w:val="0"/>
        <w:spacing w:line="560" w:lineRule="exact"/>
        <w:ind w:firstLine="622" w:firstLineChars="200"/>
        <w:jc w:val="left"/>
        <w:rPr>
          <w:rFonts w:ascii="仿宋_GB2312" w:hAnsi="仿宋_GB2312" w:eastAsia="仿宋_GB2312" w:cs="仿宋_GB2312"/>
          <w:color w:val="000000"/>
          <w:kern w:val="0"/>
          <w:sz w:val="32"/>
          <w:szCs w:val="32"/>
        </w:rPr>
      </w:pPr>
      <w:r>
        <w:rPr>
          <w:rFonts w:hint="eastAsia" w:ascii="楷体_GB2312" w:hAnsi="仿宋_GB2312" w:eastAsia="楷体_GB2312" w:cs="仿宋_GB2312"/>
          <w:bCs/>
          <w:color w:val="000000"/>
          <w:kern w:val="0"/>
          <w:sz w:val="32"/>
          <w:szCs w:val="32"/>
        </w:rPr>
        <w:t>2.夯实党建基层基础。</w:t>
      </w:r>
      <w:r>
        <w:rPr>
          <w:rFonts w:hint="eastAsia" w:ascii="仿宋_GB2312" w:hAnsi="仿宋_GB2312" w:eastAsia="仿宋_GB2312" w:cs="仿宋_GB2312"/>
          <w:color w:val="000000"/>
          <w:kern w:val="0"/>
          <w:sz w:val="32"/>
          <w:szCs w:val="32"/>
        </w:rPr>
        <w:t>贯彻落实新修订的《中国共产党普通高等学校基层党组织工作条例》，扎实推进学院基层党建质量提升工程。各基层党组织对照中组部、教育部党组印发的示范文本，修订完善党组织会议和党政联席会议议事规则。规范做好党员发展工作。加大优秀年轻干部培养和选任力度。开展特色鲜明、形式多样的支部活动，着力打造新一批党建示范单位和示范党支部。</w:t>
      </w:r>
    </w:p>
    <w:p>
      <w:pPr>
        <w:autoSpaceDE w:val="0"/>
        <w:autoSpaceDN w:val="0"/>
        <w:adjustRightInd w:val="0"/>
        <w:spacing w:line="560" w:lineRule="exact"/>
        <w:ind w:firstLine="622" w:firstLineChars="200"/>
        <w:jc w:val="left"/>
        <w:rPr>
          <w:rFonts w:ascii="仿宋_GB2312" w:hAnsi="仿宋_GB2312" w:eastAsia="仿宋_GB2312" w:cs="仿宋_GB2312"/>
          <w:color w:val="000000"/>
          <w:kern w:val="0"/>
          <w:sz w:val="32"/>
          <w:szCs w:val="32"/>
        </w:rPr>
      </w:pPr>
      <w:r>
        <w:rPr>
          <w:rFonts w:hint="eastAsia" w:ascii="楷体_GB2312" w:hAnsi="仿宋_GB2312" w:eastAsia="楷体_GB2312" w:cs="仿宋_GB2312"/>
          <w:bCs/>
          <w:color w:val="000000"/>
          <w:kern w:val="0"/>
          <w:sz w:val="32"/>
          <w:szCs w:val="32"/>
        </w:rPr>
        <w:t>3.筑牢意识形态主阵地。</w:t>
      </w:r>
      <w:r>
        <w:rPr>
          <w:rFonts w:hint="eastAsia" w:ascii="仿宋_GB2312" w:hAnsi="仿宋_GB2312" w:eastAsia="仿宋_GB2312" w:cs="仿宋_GB2312"/>
          <w:color w:val="000000"/>
          <w:kern w:val="0"/>
          <w:sz w:val="32"/>
          <w:szCs w:val="32"/>
        </w:rPr>
        <w:t>深入落实《党委（党组）意识形态工作责任制实施办法》，开展拉网扫雷行动，逐级建立责任清单，层层拧紧责任链条。加强意识形态风险意识教育，牢牢把握意识形态主动权。认真学习贯彻《中国共产党统一战线工作条例》，做好党外知识分子工作，坚决抵御和防范校园传教渗透。</w:t>
      </w:r>
    </w:p>
    <w:p>
      <w:pPr>
        <w:autoSpaceDE w:val="0"/>
        <w:autoSpaceDN w:val="0"/>
        <w:adjustRightInd w:val="0"/>
        <w:spacing w:line="560" w:lineRule="exact"/>
        <w:ind w:firstLine="622" w:firstLineChars="200"/>
        <w:jc w:val="left"/>
        <w:rPr>
          <w:rFonts w:ascii="仿宋_GB2312" w:hAnsi="仿宋_GB2312" w:eastAsia="仿宋_GB2312" w:cs="仿宋_GB2312"/>
          <w:color w:val="000000"/>
          <w:kern w:val="0"/>
          <w:sz w:val="32"/>
          <w:szCs w:val="32"/>
        </w:rPr>
      </w:pPr>
      <w:r>
        <w:rPr>
          <w:rFonts w:hint="eastAsia" w:ascii="楷体_GB2312" w:hAnsi="仿宋_GB2312" w:eastAsia="楷体_GB2312" w:cs="仿宋_GB2312"/>
          <w:bCs/>
          <w:color w:val="000000"/>
          <w:kern w:val="0"/>
          <w:sz w:val="32"/>
          <w:szCs w:val="32"/>
        </w:rPr>
        <w:t>4.深入推进全面从严治党。</w:t>
      </w:r>
      <w:r>
        <w:rPr>
          <w:rFonts w:hint="eastAsia" w:ascii="仿宋_GB2312" w:hAnsi="仿宋_GB2312" w:eastAsia="仿宋_GB2312" w:cs="仿宋_GB2312"/>
          <w:color w:val="000000"/>
          <w:kern w:val="0"/>
          <w:sz w:val="32"/>
          <w:szCs w:val="32"/>
        </w:rPr>
        <w:t>深入贯彻落实十九届中央纪委五次全会精神，召开学院推进全面从严治党工作会议，推动各级党组织落实好主体责任、主要负责人履行好“第一责任人”职责、班子成员坚持“一岗双责”。扎实推进纪律作风建设，健全廉政风险防控长效机制。深入贯彻中央八项规定精神，驰而不息整治“四风”特别是形式主义、官僚主义，持续开展漠视侵害群众和师生利益的专项整治。强化监督执纪问责，持之以恒正风肃纪，推动全面从严治党向纵深发展。</w:t>
      </w:r>
    </w:p>
    <w:p>
      <w:pPr>
        <w:spacing w:line="560" w:lineRule="exact"/>
        <w:ind w:firstLine="622" w:firstLineChars="200"/>
        <w:rPr>
          <w:rFonts w:ascii="黑体" w:hAnsi="黑体" w:eastAsia="黑体" w:cs="仿宋_GB2312"/>
          <w:sz w:val="32"/>
          <w:szCs w:val="32"/>
        </w:rPr>
      </w:pPr>
      <w:r>
        <w:rPr>
          <w:rFonts w:hint="eastAsia" w:ascii="黑体" w:hAnsi="黑体" w:eastAsia="黑体" w:cs="楷体_GB2312"/>
          <w:sz w:val="32"/>
          <w:szCs w:val="32"/>
        </w:rPr>
        <w:t>二、坚定不移抓细立德树人，精心培育全面发展的高素质人才。</w:t>
      </w:r>
    </w:p>
    <w:p>
      <w:pPr>
        <w:spacing w:line="560" w:lineRule="exact"/>
        <w:ind w:firstLine="622" w:firstLineChars="200"/>
        <w:rPr>
          <w:rFonts w:ascii="Times New Roman" w:hAnsi="Times New Roman" w:eastAsia="仿宋_GB2312" w:cs="Times New Roman"/>
          <w:sz w:val="32"/>
          <w:szCs w:val="24"/>
        </w:rPr>
      </w:pPr>
      <w:r>
        <w:rPr>
          <w:rFonts w:hint="eastAsia" w:ascii="楷体_GB2312" w:hAnsi="仿宋_GB2312" w:eastAsia="楷体_GB2312" w:cs="仿宋_GB2312"/>
          <w:bCs/>
          <w:color w:val="000000"/>
          <w:kern w:val="0"/>
          <w:sz w:val="32"/>
          <w:szCs w:val="32"/>
        </w:rPr>
        <w:t>5.抓好“三化育人”。</w:t>
      </w:r>
      <w:r>
        <w:rPr>
          <w:rFonts w:hint="eastAsia" w:ascii="Times New Roman" w:hAnsi="Times New Roman" w:eastAsia="仿宋_GB2312" w:cs="Times New Roman"/>
          <w:sz w:val="32"/>
          <w:szCs w:val="24"/>
        </w:rPr>
        <w:t>持续拓展明德学院的内涵和外延，将“优秀传统、红色革命、蓝色海洋”三种文化进行优化，打造课程、社团、成果等教育过程的立体生态逻辑闭环。充实丰富“三化”课程体系，探索开展传统技艺传承人教育。加强“三化”校外实践基地建设，注重多元文化合作。建设永怀广场，打造红色教育新标识。积极参与各类文化平台和“三全育人”试点申报工作，着力培植文化精品项目。</w:t>
      </w:r>
    </w:p>
    <w:p>
      <w:pPr>
        <w:spacing w:line="560" w:lineRule="exact"/>
        <w:ind w:firstLine="622" w:firstLineChars="200"/>
        <w:rPr>
          <w:rFonts w:ascii="Times New Roman" w:hAnsi="Times New Roman" w:eastAsia="仿宋_GB2312" w:cs="Times New Roman"/>
          <w:sz w:val="32"/>
          <w:szCs w:val="24"/>
        </w:rPr>
      </w:pPr>
      <w:r>
        <w:rPr>
          <w:rFonts w:hint="eastAsia" w:ascii="楷体_GB2312" w:hAnsi="仿宋_GB2312" w:eastAsia="楷体_GB2312" w:cs="仿宋_GB2312"/>
          <w:bCs/>
          <w:color w:val="000000"/>
          <w:kern w:val="0"/>
          <w:sz w:val="32"/>
          <w:szCs w:val="32"/>
        </w:rPr>
        <w:t>6.抓好思想政治教育。</w:t>
      </w:r>
      <w:r>
        <w:rPr>
          <w:rFonts w:hint="eastAsia" w:ascii="Times New Roman" w:hAnsi="Times New Roman" w:eastAsia="仿宋_GB2312" w:cs="Times New Roman"/>
          <w:sz w:val="32"/>
          <w:szCs w:val="24"/>
        </w:rPr>
        <w:t>贯彻落实《新时代公民道德建设实施纲要》《新时代爱国主义教育实施纲要》，加强社会主义核心价值观教育，引导学生坚定理想信念，听党话跟党走。扎实开展思政课改革创新“六大行动”，认真落实思政课“双协同、双提升”项目。推进思政教育与技术技能培养融合统一，将职业道德、职业规范等要素融入教材和课程体系，使各类课程与思政课程同向同行，形成协同效应。加强思政教师队伍培育和建设，落实相关政策要求，高标准配齐思政课专职教师队伍。</w:t>
      </w:r>
    </w:p>
    <w:p>
      <w:pPr>
        <w:spacing w:line="560" w:lineRule="exact"/>
        <w:ind w:firstLine="622" w:firstLineChars="200"/>
        <w:rPr>
          <w:rFonts w:ascii="Times New Roman" w:hAnsi="Times New Roman" w:eastAsia="仿宋_GB2312" w:cs="Times New Roman"/>
          <w:sz w:val="32"/>
          <w:szCs w:val="24"/>
        </w:rPr>
      </w:pPr>
      <w:r>
        <w:rPr>
          <w:rFonts w:hint="eastAsia" w:ascii="楷体_GB2312" w:hAnsi="仿宋_GB2312" w:eastAsia="楷体_GB2312" w:cs="仿宋_GB2312"/>
          <w:bCs/>
          <w:color w:val="000000"/>
          <w:kern w:val="0"/>
          <w:sz w:val="32"/>
          <w:szCs w:val="32"/>
        </w:rPr>
        <w:t>7.抓好文明校园创建。</w:t>
      </w:r>
      <w:r>
        <w:rPr>
          <w:rFonts w:hint="eastAsia" w:ascii="Times New Roman" w:hAnsi="Times New Roman" w:eastAsia="仿宋_GB2312" w:cs="Times New Roman"/>
          <w:sz w:val="32"/>
          <w:szCs w:val="24"/>
        </w:rPr>
        <w:t>逐项研究指标体系，促进创建工作常态化、长效化，全力争创省级文明校园。挖掘创建过程中涌现出来的先进事迹和先进典型，弘扬主旋律，传播正能量，营造良好的育人氛围。</w:t>
      </w:r>
    </w:p>
    <w:p>
      <w:pPr>
        <w:spacing w:line="560" w:lineRule="exact"/>
        <w:ind w:firstLine="622" w:firstLineChars="200"/>
        <w:rPr>
          <w:rFonts w:ascii="Times New Roman" w:hAnsi="Times New Roman" w:eastAsia="仿宋_GB2312" w:cs="Times New Roman"/>
          <w:sz w:val="32"/>
          <w:szCs w:val="24"/>
        </w:rPr>
      </w:pPr>
      <w:r>
        <w:rPr>
          <w:rFonts w:hint="eastAsia" w:ascii="楷体_GB2312" w:hAnsi="仿宋_GB2312" w:eastAsia="楷体_GB2312" w:cs="仿宋_GB2312"/>
          <w:bCs/>
          <w:color w:val="000000"/>
          <w:kern w:val="0"/>
          <w:sz w:val="32"/>
          <w:szCs w:val="32"/>
        </w:rPr>
        <w:t>8.抓好学生管理。</w:t>
      </w:r>
      <w:r>
        <w:rPr>
          <w:rFonts w:hint="eastAsia" w:ascii="Times New Roman" w:hAnsi="Times New Roman" w:eastAsia="仿宋_GB2312" w:cs="Times New Roman"/>
          <w:sz w:val="32"/>
          <w:szCs w:val="24"/>
        </w:rPr>
        <w:t>加强文明习惯的常规养成教育，制定操作性强的配套制度和实施办法，实现学生“自我教育、自我管理、自我服务、自我提升”。强化专职辅导员队伍建设，全面提升辅导员队伍专业化职业化水平。完善大学工管理平台建设，提升信息化管理水平。完善资助育人体系，构建精准帮扶体系。健全大学生心理育人工作机制，切实提高学生心理素质。</w:t>
      </w:r>
    </w:p>
    <w:p>
      <w:pPr>
        <w:spacing w:line="560" w:lineRule="exact"/>
        <w:ind w:firstLine="622" w:firstLineChars="200"/>
        <w:rPr>
          <w:rFonts w:ascii="Times New Roman" w:hAnsi="Times New Roman" w:eastAsia="仿宋_GB2312" w:cs="Times New Roman"/>
          <w:sz w:val="32"/>
          <w:szCs w:val="24"/>
        </w:rPr>
      </w:pPr>
      <w:r>
        <w:rPr>
          <w:rFonts w:hint="eastAsia" w:ascii="楷体_GB2312" w:hAnsi="仿宋_GB2312" w:eastAsia="楷体_GB2312" w:cs="仿宋_GB2312"/>
          <w:bCs/>
          <w:color w:val="000000"/>
          <w:kern w:val="0"/>
          <w:sz w:val="32"/>
          <w:szCs w:val="32"/>
        </w:rPr>
        <w:t>9.抓好体美劳教育。</w:t>
      </w:r>
      <w:r>
        <w:rPr>
          <w:rFonts w:hint="eastAsia" w:ascii="Times New Roman" w:hAnsi="Times New Roman" w:eastAsia="仿宋_GB2312" w:cs="Times New Roman"/>
          <w:sz w:val="32"/>
          <w:szCs w:val="24"/>
        </w:rPr>
        <w:t>完善“健康知识+基本运动技能+专项运动技能”的体育教学模式，持续做好学生体质健康测试，开展好阳光体育运动。实施美育浸润行动，通过第二课堂、社团文化活动等，突出学生审美情趣和人文素养培养。加强耕读教育，将劳动教育纳入人才培养全过程，开展好勤工俭学、社会实践、志愿服务等活动。</w:t>
      </w:r>
    </w:p>
    <w:p>
      <w:pPr>
        <w:spacing w:line="560" w:lineRule="exact"/>
        <w:ind w:firstLine="622" w:firstLineChars="200"/>
        <w:rPr>
          <w:rFonts w:ascii="黑体" w:hAnsi="黑体" w:eastAsia="黑体" w:cs="仿宋_GB2312"/>
          <w:sz w:val="32"/>
          <w:szCs w:val="32"/>
        </w:rPr>
      </w:pPr>
      <w:r>
        <w:rPr>
          <w:rFonts w:hint="eastAsia" w:ascii="黑体" w:hAnsi="黑体" w:eastAsia="黑体" w:cs="楷体_GB2312"/>
          <w:sz w:val="32"/>
          <w:szCs w:val="32"/>
        </w:rPr>
        <w:t>三、坚定不移抓好人才队伍，着力打造高水平“双师”队伍。</w:t>
      </w:r>
    </w:p>
    <w:p>
      <w:pPr>
        <w:autoSpaceDE w:val="0"/>
        <w:autoSpaceDN w:val="0"/>
        <w:adjustRightInd w:val="0"/>
        <w:spacing w:line="560" w:lineRule="exact"/>
        <w:ind w:firstLine="622" w:firstLineChars="200"/>
        <w:jc w:val="left"/>
        <w:rPr>
          <w:rFonts w:ascii="仿宋_GB2312" w:hAnsi="仿宋_GB2312" w:eastAsia="仿宋_GB2312" w:cs="仿宋_GB2312"/>
          <w:color w:val="000000"/>
          <w:kern w:val="0"/>
          <w:sz w:val="32"/>
          <w:szCs w:val="32"/>
        </w:rPr>
      </w:pPr>
      <w:r>
        <w:rPr>
          <w:rFonts w:hint="eastAsia" w:ascii="楷体_GB2312" w:hAnsi="仿宋_GB2312" w:eastAsia="楷体_GB2312" w:cs="仿宋_GB2312"/>
          <w:bCs/>
          <w:color w:val="000000"/>
          <w:kern w:val="0"/>
          <w:sz w:val="32"/>
          <w:szCs w:val="32"/>
        </w:rPr>
        <w:t>10.</w:t>
      </w:r>
      <w:r>
        <w:rPr>
          <w:rFonts w:ascii="楷体_GB2312" w:hAnsi="仿宋_GB2312" w:eastAsia="楷体_GB2312" w:cs="仿宋_GB2312"/>
          <w:bCs/>
          <w:color w:val="000000"/>
          <w:kern w:val="0"/>
          <w:sz w:val="32"/>
          <w:szCs w:val="32"/>
        </w:rPr>
        <w:t>加大</w:t>
      </w:r>
      <w:r>
        <w:rPr>
          <w:rFonts w:hint="eastAsia" w:ascii="楷体_GB2312" w:hAnsi="仿宋_GB2312" w:eastAsia="楷体_GB2312" w:cs="仿宋_GB2312"/>
          <w:bCs/>
          <w:color w:val="000000"/>
          <w:kern w:val="0"/>
          <w:sz w:val="32"/>
          <w:szCs w:val="32"/>
        </w:rPr>
        <w:t>人才引培</w:t>
      </w:r>
      <w:r>
        <w:rPr>
          <w:rFonts w:ascii="楷体_GB2312" w:hAnsi="仿宋_GB2312" w:eastAsia="楷体_GB2312" w:cs="仿宋_GB2312"/>
          <w:bCs/>
          <w:color w:val="000000"/>
          <w:kern w:val="0"/>
          <w:sz w:val="32"/>
          <w:szCs w:val="32"/>
        </w:rPr>
        <w:t>力度。</w:t>
      </w:r>
      <w:r>
        <w:rPr>
          <w:rFonts w:ascii="仿宋_GB2312" w:hAnsi="仿宋_GB2312" w:eastAsia="仿宋_GB2312" w:cs="仿宋_GB2312"/>
          <w:color w:val="000000"/>
          <w:kern w:val="0"/>
          <w:sz w:val="32"/>
          <w:szCs w:val="32"/>
        </w:rPr>
        <w:t>充分落实用人自主权，</w:t>
      </w:r>
      <w:r>
        <w:rPr>
          <w:rFonts w:hint="eastAsia" w:ascii="仿宋_GB2312" w:hAnsi="仿宋_GB2312" w:eastAsia="仿宋_GB2312" w:cs="仿宋_GB2312"/>
          <w:color w:val="000000"/>
          <w:kern w:val="0"/>
          <w:sz w:val="32"/>
          <w:szCs w:val="32"/>
        </w:rPr>
        <w:t>重点招聘具有3年以上企业工作经历和相关专业技术资格或职业资格的业界优秀人才担任专任教师，</w:t>
      </w:r>
      <w:r>
        <w:rPr>
          <w:rFonts w:ascii="仿宋_GB2312" w:hAnsi="仿宋_GB2312" w:eastAsia="仿宋_GB2312" w:cs="仿宋_GB2312"/>
          <w:color w:val="000000"/>
          <w:kern w:val="0"/>
          <w:sz w:val="32"/>
          <w:szCs w:val="32"/>
        </w:rPr>
        <w:t>优先保障教学科研需求。加强“智库”“人才库”建设，争取省级重大研究课题，产出一批引领全省乃至全国职教改革的原创性研究成果。</w:t>
      </w:r>
      <w:r>
        <w:rPr>
          <w:rFonts w:hint="eastAsia" w:ascii="仿宋_GB2312" w:hAnsi="仿宋_GB2312" w:eastAsia="仿宋_GB2312" w:cs="仿宋_GB2312"/>
          <w:color w:val="000000"/>
          <w:kern w:val="0"/>
          <w:sz w:val="32"/>
          <w:szCs w:val="32"/>
        </w:rPr>
        <w:t>积极参与全省职业教育青年专家库建设。</w:t>
      </w:r>
    </w:p>
    <w:p>
      <w:pPr>
        <w:autoSpaceDE w:val="0"/>
        <w:autoSpaceDN w:val="0"/>
        <w:adjustRightInd w:val="0"/>
        <w:spacing w:line="560" w:lineRule="exact"/>
        <w:ind w:firstLine="622" w:firstLineChars="200"/>
        <w:jc w:val="left"/>
        <w:rPr>
          <w:rFonts w:ascii="仿宋_GB2312" w:hAnsi="仿宋_GB2312" w:eastAsia="仿宋_GB2312" w:cs="仿宋_GB2312"/>
          <w:color w:val="000000"/>
          <w:kern w:val="0"/>
          <w:sz w:val="32"/>
          <w:szCs w:val="32"/>
        </w:rPr>
      </w:pPr>
      <w:r>
        <w:rPr>
          <w:rFonts w:hint="eastAsia" w:ascii="楷体_GB2312" w:hAnsi="仿宋_GB2312" w:eastAsia="楷体_GB2312" w:cs="仿宋_GB2312"/>
          <w:bCs/>
          <w:color w:val="000000"/>
          <w:kern w:val="0"/>
          <w:sz w:val="32"/>
          <w:szCs w:val="32"/>
        </w:rPr>
        <w:t>11.加强师德师风建设。</w:t>
      </w:r>
      <w:r>
        <w:rPr>
          <w:rFonts w:hint="eastAsia" w:ascii="仿宋_GB2312" w:hAnsi="仿宋_GB2312" w:eastAsia="仿宋_GB2312" w:cs="仿宋_GB2312"/>
          <w:color w:val="000000"/>
          <w:kern w:val="0"/>
          <w:sz w:val="32"/>
          <w:szCs w:val="32"/>
        </w:rPr>
        <w:t>全面落实《新时代高校教师职业行为十项准则》，完善加强师德师风建设实施方案和师德考核评价办法。将师德师风作为教师招聘引进、职称评聘、评优奖励、项目申报等的首要要求和第一标准，严格执行师德“一票否决”。加大教师表彰力度，健全教师荣誉制度。</w:t>
      </w:r>
    </w:p>
    <w:p>
      <w:pPr>
        <w:autoSpaceDE w:val="0"/>
        <w:autoSpaceDN w:val="0"/>
        <w:adjustRightInd w:val="0"/>
        <w:spacing w:line="560" w:lineRule="exact"/>
        <w:ind w:firstLine="622" w:firstLineChars="200"/>
        <w:jc w:val="left"/>
        <w:rPr>
          <w:rFonts w:ascii="仿宋_GB2312" w:hAnsi="仿宋_GB2312" w:eastAsia="仿宋_GB2312" w:cs="仿宋_GB2312"/>
          <w:color w:val="000000"/>
          <w:kern w:val="0"/>
          <w:sz w:val="32"/>
          <w:szCs w:val="32"/>
        </w:rPr>
      </w:pPr>
      <w:r>
        <w:rPr>
          <w:rFonts w:hint="eastAsia" w:ascii="楷体_GB2312" w:hAnsi="楷体_GB2312" w:eastAsia="楷体_GB2312" w:cs="楷体_GB2312"/>
          <w:color w:val="000000"/>
          <w:kern w:val="0"/>
          <w:sz w:val="32"/>
          <w:szCs w:val="32"/>
        </w:rPr>
        <w:t>12.提升专业素质能力。</w:t>
      </w:r>
      <w:r>
        <w:rPr>
          <w:rFonts w:hint="eastAsia" w:ascii="仿宋_GB2312" w:hAnsi="楷体_GB2312" w:eastAsia="仿宋_GB2312" w:cs="楷体_GB2312"/>
          <w:color w:val="000000"/>
          <w:kern w:val="0"/>
          <w:sz w:val="32"/>
          <w:szCs w:val="32"/>
        </w:rPr>
        <w:t>制定教师专业标准，</w:t>
      </w:r>
      <w:r>
        <w:rPr>
          <w:rFonts w:hint="eastAsia" w:ascii="仿宋_GB2312" w:hAnsi="楷体_GB2312" w:eastAsia="仿宋_GB2312" w:cs="楷体_GB2312"/>
          <w:bCs/>
          <w:color w:val="000000"/>
          <w:kern w:val="0"/>
          <w:sz w:val="32"/>
          <w:szCs w:val="32"/>
        </w:rPr>
        <w:t>健全完善教师发展体系制度。</w:t>
      </w:r>
      <w:r>
        <w:rPr>
          <w:rFonts w:hint="eastAsia" w:ascii="仿宋_GB2312" w:hAnsi="仿宋" w:eastAsia="仿宋_GB2312" w:cs="宋体"/>
          <w:color w:val="000000"/>
          <w:kern w:val="0"/>
          <w:sz w:val="32"/>
          <w:szCs w:val="32"/>
        </w:rPr>
        <w:t>聚焦1+X证书制度开展教师全员培训。鼓励年轻教师积极提升学历、学位。校企共建“双师型”教师培训基地，全面提升教师“双师结构”。</w:t>
      </w:r>
      <w:r>
        <w:rPr>
          <w:rFonts w:hint="eastAsia" w:ascii="仿宋_GB2312" w:hAnsi="仿宋_GB2312" w:eastAsia="仿宋_GB2312" w:cs="仿宋_GB2312"/>
          <w:color w:val="000000"/>
          <w:kern w:val="0"/>
          <w:sz w:val="32"/>
          <w:szCs w:val="32"/>
        </w:rPr>
        <w:t>至少创建1个符合项目式、模块化教学需要的省级教学创新团队。</w:t>
      </w:r>
    </w:p>
    <w:p>
      <w:pPr>
        <w:autoSpaceDE w:val="0"/>
        <w:autoSpaceDN w:val="0"/>
        <w:adjustRightInd w:val="0"/>
        <w:spacing w:line="560" w:lineRule="exact"/>
        <w:ind w:firstLine="622" w:firstLineChars="200"/>
        <w:jc w:val="left"/>
        <w:rPr>
          <w:rFonts w:ascii="仿宋_GB2312" w:hAnsi="仿宋_GB2312" w:eastAsia="仿宋_GB2312" w:cs="仿宋_GB2312"/>
          <w:color w:val="000000"/>
          <w:kern w:val="0"/>
          <w:sz w:val="32"/>
          <w:szCs w:val="32"/>
        </w:rPr>
      </w:pPr>
      <w:r>
        <w:rPr>
          <w:rFonts w:hint="eastAsia" w:ascii="楷体_GB2312" w:hAnsi="楷体_GB2312" w:eastAsia="楷体_GB2312" w:cs="楷体_GB2312"/>
          <w:color w:val="000000"/>
          <w:kern w:val="0"/>
          <w:sz w:val="32"/>
          <w:szCs w:val="32"/>
        </w:rPr>
        <w:t>13.激发队伍创新活力。</w:t>
      </w:r>
      <w:r>
        <w:rPr>
          <w:rFonts w:hint="eastAsia" w:ascii="仿宋_GB2312" w:hAnsi="仿宋_GB2312" w:eastAsia="仿宋_GB2312" w:cs="仿宋_GB2312"/>
          <w:color w:val="000000"/>
          <w:kern w:val="0"/>
          <w:sz w:val="32"/>
          <w:szCs w:val="32"/>
        </w:rPr>
        <w:t>完善教学质量评价制度，多维度考评教学工作实绩。完善教师考核评价机制，坚决克服“五唯”弊病。健全内部收入分配机制，完善绩效考核办法，切实发挥收入分配政策的激励导向作用。</w:t>
      </w:r>
    </w:p>
    <w:p>
      <w:pPr>
        <w:spacing w:line="560" w:lineRule="exact"/>
        <w:ind w:firstLine="622" w:firstLineChars="200"/>
        <w:rPr>
          <w:rFonts w:ascii="黑体" w:hAnsi="黑体" w:eastAsia="黑体" w:cs="楷体_GB2312"/>
          <w:sz w:val="32"/>
          <w:szCs w:val="32"/>
        </w:rPr>
      </w:pPr>
      <w:r>
        <w:rPr>
          <w:rFonts w:hint="eastAsia" w:ascii="黑体" w:hAnsi="黑体" w:eastAsia="黑体" w:cs="楷体_GB2312"/>
          <w:sz w:val="32"/>
          <w:szCs w:val="32"/>
        </w:rPr>
        <w:t>四、坚定不移抓实教育教学改革，切实推动内涵建设高质量发展。</w:t>
      </w:r>
    </w:p>
    <w:p>
      <w:pPr>
        <w:autoSpaceDE w:val="0"/>
        <w:autoSpaceDN w:val="0"/>
        <w:adjustRightInd w:val="0"/>
        <w:spacing w:line="560" w:lineRule="exact"/>
        <w:ind w:firstLine="622" w:firstLineChars="200"/>
        <w:jc w:val="left"/>
        <w:rPr>
          <w:rFonts w:ascii="仿宋_GB2312" w:hAnsi="仿宋_GB2312" w:eastAsia="仿宋_GB2312" w:cs="仿宋_GB2312"/>
          <w:color w:val="000000"/>
          <w:kern w:val="0"/>
          <w:sz w:val="32"/>
          <w:szCs w:val="32"/>
        </w:rPr>
      </w:pPr>
      <w:r>
        <w:rPr>
          <w:rFonts w:hint="eastAsia" w:ascii="楷体_GB2312" w:hAnsi="楷体_GB2312" w:eastAsia="楷体_GB2312" w:cs="楷体_GB2312"/>
          <w:color w:val="000000"/>
          <w:kern w:val="0"/>
          <w:sz w:val="32"/>
          <w:szCs w:val="32"/>
        </w:rPr>
        <w:t>14.创新人才培养模式。</w:t>
      </w:r>
      <w:r>
        <w:rPr>
          <w:rFonts w:hint="eastAsia" w:ascii="仿宋_GB2312" w:hAnsi="仿宋_GB2312" w:eastAsia="仿宋_GB2312" w:cs="仿宋_GB2312"/>
          <w:color w:val="000000"/>
          <w:kern w:val="0"/>
          <w:sz w:val="32"/>
          <w:szCs w:val="32"/>
        </w:rPr>
        <w:t>落实高职院校综合测评制度。培育认定一批2021年度齐鲁工匠后备人才。2021级新生全面实施学分制。统筹用好政府培训补贴，支持学生考取职业技能等级证书，每个专业方向至少对接1个“X”证书。试行学分银行。与威海水产学校等中职院校协同发展，落实好“3+2”贯通培养合作计划；对接青岛农业大学、山东青年政治学院、滨州学院、山东外事职业大学等本科院校争取“3＋2”专本贯通培养新突破。</w:t>
      </w:r>
    </w:p>
    <w:p>
      <w:pPr>
        <w:autoSpaceDE w:val="0"/>
        <w:autoSpaceDN w:val="0"/>
        <w:adjustRightInd w:val="0"/>
        <w:spacing w:line="560" w:lineRule="exact"/>
        <w:ind w:firstLine="622" w:firstLineChars="200"/>
        <w:jc w:val="left"/>
        <w:rPr>
          <w:rFonts w:ascii="仿宋_GB2312" w:hAnsi="仿宋_GB2312" w:eastAsia="仿宋_GB2312" w:cs="仿宋_GB2312"/>
          <w:color w:val="000000"/>
          <w:kern w:val="0"/>
          <w:sz w:val="32"/>
          <w:szCs w:val="32"/>
        </w:rPr>
      </w:pPr>
      <w:r>
        <w:rPr>
          <w:rFonts w:hint="eastAsia" w:ascii="楷体_GB2312" w:hAnsi="楷体_GB2312" w:eastAsia="楷体_GB2312" w:cs="楷体_GB2312"/>
          <w:color w:val="000000"/>
          <w:kern w:val="0"/>
          <w:sz w:val="32"/>
          <w:szCs w:val="32"/>
        </w:rPr>
        <w:t>15.加强专业（群）建设。</w:t>
      </w:r>
      <w:r>
        <w:rPr>
          <w:rFonts w:hint="eastAsia" w:ascii="仿宋_GB2312" w:hAnsi="仿宋_GB2312" w:eastAsia="仿宋_GB2312" w:cs="仿宋_GB2312"/>
          <w:color w:val="000000"/>
          <w:kern w:val="0"/>
          <w:sz w:val="32"/>
          <w:szCs w:val="32"/>
        </w:rPr>
        <w:t>健全专业（群）建设发展机制，优化专业（群）结构布局和内涵建设，力争在专业发展水平考核中取得优异成绩。加强涉海专业（群）建设，新增6个专业招生，推动至少1个专业群进入省级高水平专业群建设方阵,</w:t>
      </w:r>
      <w:r>
        <w:rPr>
          <w:rFonts w:hint="eastAsia" w:ascii="宋体" w:hAnsi="Calibri" w:eastAsia="宋体" w:cs="Times New Roman"/>
          <w:color w:val="000000"/>
          <w:kern w:val="0"/>
          <w:sz w:val="24"/>
          <w:szCs w:val="20"/>
        </w:rPr>
        <w:t xml:space="preserve"> </w:t>
      </w:r>
      <w:r>
        <w:rPr>
          <w:rFonts w:hint="eastAsia" w:ascii="仿宋_GB2312" w:hAnsi="仿宋_GB2312" w:eastAsia="仿宋_GB2312" w:cs="仿宋_GB2312"/>
          <w:color w:val="000000"/>
          <w:kern w:val="0"/>
          <w:sz w:val="32"/>
          <w:szCs w:val="32"/>
        </w:rPr>
        <w:t>3个专业申报本科层次职业教育专业，第二批、第三批省品牌专业群通过验收。完善专业（群）教学管理制度，引入行业、企业和第三方在专业（群）建设、评价等方面的参与力度。校企共同研制、修订教育教学相关标准，建设开放共享的专业（群）课程教学资源和实践教学基地。</w:t>
      </w:r>
    </w:p>
    <w:p>
      <w:pPr>
        <w:autoSpaceDE w:val="0"/>
        <w:autoSpaceDN w:val="0"/>
        <w:adjustRightInd w:val="0"/>
        <w:spacing w:line="560" w:lineRule="exact"/>
        <w:ind w:firstLine="622" w:firstLineChars="200"/>
        <w:jc w:val="left"/>
        <w:rPr>
          <w:rFonts w:ascii="仿宋_GB2312" w:hAnsi="仿宋_GB2312" w:eastAsia="仿宋_GB2312" w:cs="仿宋_GB2312"/>
          <w:color w:val="000000"/>
          <w:kern w:val="0"/>
          <w:sz w:val="32"/>
          <w:szCs w:val="32"/>
        </w:rPr>
      </w:pPr>
      <w:r>
        <w:rPr>
          <w:rFonts w:hint="eastAsia" w:ascii="楷体_GB2312" w:hAnsi="楷体_GB2312" w:eastAsia="楷体_GB2312" w:cs="楷体_GB2312"/>
          <w:color w:val="000000"/>
          <w:kern w:val="0"/>
          <w:sz w:val="32"/>
          <w:szCs w:val="32"/>
        </w:rPr>
        <w:t>16.深化“三教”改革。</w:t>
      </w:r>
      <w:r>
        <w:rPr>
          <w:rFonts w:hint="eastAsia" w:ascii="仿宋_GB2312" w:hAnsi="楷体_GB2312" w:eastAsia="仿宋_GB2312" w:cs="楷体_GB2312"/>
          <w:color w:val="000000"/>
          <w:kern w:val="0"/>
          <w:sz w:val="32"/>
          <w:szCs w:val="32"/>
        </w:rPr>
        <w:t>高质量实施教学提质升级专项行动，做好省级教学成果特等奖、国家级教学成果奖培育工作。</w:t>
      </w:r>
      <w:r>
        <w:rPr>
          <w:rFonts w:hint="eastAsia" w:ascii="仿宋_GB2312" w:hAnsi="仿宋_GB2312" w:eastAsia="仿宋_GB2312" w:cs="仿宋_GB2312"/>
          <w:color w:val="000000"/>
          <w:kern w:val="0"/>
          <w:sz w:val="32"/>
          <w:szCs w:val="32"/>
        </w:rPr>
        <w:t>严格教材选用制度和教学用书目录，严把教学标准关口，倡导使用新型活页式、工作手册式教材并配套开发信息化资源。积极实行体现行动导向的项目教学、案例教学、情境教学、模块化教学，夯实课堂“主阵地”。引入大数据、人工智能等现代教育技术，推进虚拟工厂等网络学习空间建设和普遍应用。开展第二批院级教学改革项目，力争建设省级精品资源共享课12门左右。认真组织职业教育活动周活动，积极承办和参加职业院校技能大赛，争取国赛实现新突破、省赛一等奖达到5项、二等奖大幅提升。</w:t>
      </w:r>
    </w:p>
    <w:p>
      <w:pPr>
        <w:autoSpaceDE w:val="0"/>
        <w:autoSpaceDN w:val="0"/>
        <w:adjustRightInd w:val="0"/>
        <w:spacing w:line="560" w:lineRule="exact"/>
        <w:ind w:firstLine="622" w:firstLineChars="200"/>
        <w:jc w:val="left"/>
        <w:rPr>
          <w:rFonts w:ascii="仿宋_GB2312" w:hAnsi="仿宋_GB2312" w:eastAsia="仿宋_GB2312" w:cs="仿宋_GB2312"/>
          <w:color w:val="000000"/>
          <w:kern w:val="0"/>
          <w:sz w:val="32"/>
          <w:szCs w:val="32"/>
        </w:rPr>
      </w:pPr>
      <w:r>
        <w:rPr>
          <w:rFonts w:hint="eastAsia" w:ascii="楷体_GB2312" w:hAnsi="楷体_GB2312" w:eastAsia="楷体_GB2312" w:cs="楷体_GB2312"/>
          <w:color w:val="000000"/>
          <w:kern w:val="0"/>
          <w:sz w:val="32"/>
          <w:szCs w:val="32"/>
        </w:rPr>
        <w:t>17.促进招生就业创业提质增效。</w:t>
      </w:r>
      <w:r>
        <w:rPr>
          <w:rFonts w:hint="eastAsia" w:ascii="仿宋_GB2312" w:hAnsi="仿宋_GB2312" w:eastAsia="仿宋_GB2312" w:cs="仿宋_GB2312"/>
          <w:color w:val="000000"/>
          <w:kern w:val="0"/>
          <w:sz w:val="32"/>
          <w:szCs w:val="32"/>
        </w:rPr>
        <w:t>保证生源规模，提高生源质量，创造性抓好高职扩招工作。继续落实就业“一把手工程”，实施统筹和规模化顶岗实习，增加本地就业率。加强就业队伍建设和就业教育指导，精细精准帮扶困难群体，深化就业与招生、培养联动机制改革，全力保障毕业生高水平就业。积极参与农村创业创新带头人培育行动。大学生双创孵化基地孵化企业增至100家，争创国家级众创空间。</w:t>
      </w:r>
    </w:p>
    <w:p>
      <w:pPr>
        <w:autoSpaceDE w:val="0"/>
        <w:autoSpaceDN w:val="0"/>
        <w:adjustRightInd w:val="0"/>
        <w:spacing w:line="560" w:lineRule="exact"/>
        <w:ind w:firstLine="622" w:firstLineChars="200"/>
        <w:jc w:val="left"/>
        <w:rPr>
          <w:rFonts w:ascii="仿宋_GB2312" w:hAnsi="仿宋_GB2312" w:eastAsia="仿宋_GB2312" w:cs="仿宋_GB2312"/>
          <w:color w:val="000000"/>
          <w:kern w:val="0"/>
          <w:sz w:val="32"/>
          <w:szCs w:val="32"/>
        </w:rPr>
      </w:pPr>
      <w:r>
        <w:rPr>
          <w:rFonts w:hint="eastAsia" w:ascii="楷体_GB2312" w:hAnsi="楷体_GB2312" w:eastAsia="楷体_GB2312" w:cs="楷体_GB2312"/>
          <w:color w:val="000000"/>
          <w:kern w:val="0"/>
          <w:sz w:val="32"/>
          <w:szCs w:val="32"/>
        </w:rPr>
        <w:t>18.优化内部质保体系。</w:t>
      </w:r>
      <w:r>
        <w:rPr>
          <w:rFonts w:hint="eastAsia" w:ascii="仿宋_GB2312" w:hAnsi="楷体_GB2312" w:eastAsia="仿宋_GB2312" w:cs="楷体_GB2312"/>
          <w:color w:val="000000"/>
          <w:kern w:val="0"/>
          <w:sz w:val="32"/>
          <w:szCs w:val="32"/>
        </w:rPr>
        <w:t>围绕产教融合与校企合作、教学改革与专业建设、教师成长与职业发展、学生管理与实习实训、评价改革与质量监控、内部治理等12个专题，完善制度标准，改进工作流程，</w:t>
      </w:r>
      <w:r>
        <w:rPr>
          <w:rFonts w:hint="eastAsia" w:ascii="仿宋_GB2312" w:hAnsi="仿宋_GB2312" w:eastAsia="仿宋_GB2312" w:cs="仿宋_GB2312"/>
          <w:color w:val="000000"/>
          <w:kern w:val="0"/>
          <w:sz w:val="32"/>
          <w:szCs w:val="32"/>
        </w:rPr>
        <w:t>严格标准实施，强化标准执行。优化内部质保体系诊断与改进机制、教学质量督导评价机制，将质量文化和要求内化为全院师生的共同价值追求和自觉行为。加强人才培养质量报告、适应社会需求能力报告、高基报表与人才培养工作状态数据平台相关数据的统一管理。认真分析2020年度办学质量考核结果，深入开展“强弱项、补短板”专项行动，实现2021年度办学质量考核新突破。</w:t>
      </w:r>
    </w:p>
    <w:p>
      <w:pPr>
        <w:autoSpaceDE w:val="0"/>
        <w:autoSpaceDN w:val="0"/>
        <w:adjustRightInd w:val="0"/>
        <w:spacing w:line="560" w:lineRule="exact"/>
        <w:ind w:firstLine="622" w:firstLineChars="200"/>
        <w:jc w:val="left"/>
        <w:rPr>
          <w:rFonts w:ascii="仿宋_GB2312" w:hAnsi="仿宋_GB2312" w:eastAsia="仿宋_GB2312" w:cs="仿宋_GB2312"/>
          <w:color w:val="000000"/>
          <w:kern w:val="0"/>
          <w:sz w:val="32"/>
          <w:szCs w:val="32"/>
        </w:rPr>
      </w:pPr>
      <w:r>
        <w:rPr>
          <w:rFonts w:hint="eastAsia" w:ascii="楷体_GB2312" w:hAnsi="楷体_GB2312" w:eastAsia="楷体_GB2312" w:cs="楷体_GB2312"/>
          <w:color w:val="000000"/>
          <w:kern w:val="0"/>
          <w:sz w:val="32"/>
          <w:szCs w:val="32"/>
        </w:rPr>
        <w:t>19.完善现代大学治理体系。</w:t>
      </w:r>
      <w:r>
        <w:rPr>
          <w:rFonts w:hint="eastAsia" w:ascii="仿宋_GB2312" w:hAnsi="仿宋_GB2312" w:eastAsia="仿宋_GB2312" w:cs="仿宋_GB2312"/>
          <w:color w:val="000000"/>
          <w:kern w:val="0"/>
          <w:sz w:val="32"/>
          <w:szCs w:val="32"/>
        </w:rPr>
        <w:t>完善学院理事会、学术委员会、教育教学委员会的功能与职能，完善以专业群建设运行为中心的校、院二级管理体系和组织架构，完善“两代会”制度和信息公开制度。把教育评价改革列入重要议事日程，创新性落实好五项办学自主权。继续引进第三方机构，对学院办学质量和专业（群）发展水平进行评价与监督。</w:t>
      </w:r>
    </w:p>
    <w:p>
      <w:pPr>
        <w:autoSpaceDE w:val="0"/>
        <w:autoSpaceDN w:val="0"/>
        <w:adjustRightInd w:val="0"/>
        <w:spacing w:line="560" w:lineRule="exact"/>
        <w:ind w:firstLine="622" w:firstLineChars="200"/>
        <w:jc w:val="left"/>
        <w:rPr>
          <w:rFonts w:ascii="仿宋_GB2312" w:hAnsi="仿宋_GB2312" w:eastAsia="仿宋_GB2312" w:cs="仿宋_GB2312"/>
          <w:color w:val="000000"/>
          <w:kern w:val="0"/>
          <w:sz w:val="32"/>
          <w:szCs w:val="32"/>
        </w:rPr>
      </w:pPr>
      <w:r>
        <w:rPr>
          <w:rFonts w:hint="eastAsia" w:ascii="楷体_GB2312" w:hAnsi="楷体_GB2312" w:eastAsia="楷体_GB2312" w:cs="楷体_GB2312"/>
          <w:color w:val="000000"/>
          <w:kern w:val="0"/>
          <w:sz w:val="32"/>
          <w:szCs w:val="32"/>
        </w:rPr>
        <w:t>20.加快信息化建设。</w:t>
      </w:r>
      <w:r>
        <w:rPr>
          <w:rFonts w:hint="eastAsia" w:ascii="仿宋_GB2312" w:hAnsi="仿宋_GB2312" w:eastAsia="仿宋_GB2312" w:cs="仿宋_GB2312"/>
          <w:color w:val="000000"/>
          <w:kern w:val="0"/>
          <w:sz w:val="32"/>
          <w:szCs w:val="32"/>
        </w:rPr>
        <w:t>聚焦“5G+”“互联网+”，认真落实《教育信息化中长期发展规划（2021-2035）》《教育信息化“十四五”规划》《关于推进“互联网+教育”发展的指导意见》。完善校本大数据平台，推动方式变革。深化网络学习空间应用普及行动，全面提升师生信息素养。积极争创山东省50所职业教育信息创新与改革试点校和全国300所职业教育信息化标杆学校。</w:t>
      </w:r>
    </w:p>
    <w:p>
      <w:pPr>
        <w:autoSpaceDE w:val="0"/>
        <w:autoSpaceDN w:val="0"/>
        <w:adjustRightInd w:val="0"/>
        <w:spacing w:line="560" w:lineRule="exact"/>
        <w:ind w:firstLine="622" w:firstLineChars="200"/>
        <w:jc w:val="left"/>
        <w:rPr>
          <w:rFonts w:ascii="黑体" w:hAnsi="黑体" w:eastAsia="黑体" w:cs="仿宋_GB2312"/>
          <w:color w:val="000000"/>
          <w:kern w:val="0"/>
          <w:sz w:val="32"/>
          <w:szCs w:val="32"/>
        </w:rPr>
      </w:pPr>
      <w:r>
        <w:rPr>
          <w:rFonts w:hint="eastAsia" w:ascii="黑体" w:hAnsi="黑体" w:eastAsia="黑体" w:cs="楷体_GB2312"/>
          <w:color w:val="000000"/>
          <w:kern w:val="0"/>
          <w:sz w:val="32"/>
          <w:szCs w:val="32"/>
        </w:rPr>
        <w:t>五、坚定不移深化交流合作，主动服务发展新格局。</w:t>
      </w:r>
    </w:p>
    <w:p>
      <w:pPr>
        <w:autoSpaceDE w:val="0"/>
        <w:autoSpaceDN w:val="0"/>
        <w:adjustRightInd w:val="0"/>
        <w:spacing w:line="560" w:lineRule="exact"/>
        <w:ind w:firstLine="622" w:firstLineChars="200"/>
        <w:jc w:val="left"/>
        <w:rPr>
          <w:rFonts w:ascii="仿宋_GB2312" w:hAnsi="仿宋_GB2312" w:eastAsia="仿宋_GB2312" w:cs="仿宋_GB2312"/>
          <w:kern w:val="0"/>
          <w:sz w:val="32"/>
          <w:szCs w:val="32"/>
        </w:rPr>
      </w:pPr>
      <w:r>
        <w:rPr>
          <w:rFonts w:hint="eastAsia" w:ascii="楷体_GB2312" w:hAnsi="仿宋_GB2312" w:eastAsia="楷体_GB2312" w:cs="仿宋_GB2312"/>
          <w:bCs/>
          <w:color w:val="000000"/>
          <w:kern w:val="0"/>
          <w:sz w:val="32"/>
          <w:szCs w:val="32"/>
        </w:rPr>
        <w:t>21.开展更深层次的校企校地合作。</w:t>
      </w:r>
      <w:r>
        <w:rPr>
          <w:rFonts w:hint="eastAsia" w:ascii="仿宋_GB2312" w:hAnsi="仿宋_GB2312" w:eastAsia="仿宋_GB2312" w:cs="仿宋_GB2312"/>
          <w:color w:val="000000"/>
          <w:kern w:val="0"/>
          <w:sz w:val="32"/>
          <w:szCs w:val="32"/>
        </w:rPr>
        <w:t>健全产业结构调整驱动专业改革、</w:t>
      </w:r>
      <w:r>
        <w:rPr>
          <w:rFonts w:hint="eastAsia" w:ascii="仿宋_GB2312" w:hAnsi="仿宋_GB2312" w:eastAsia="仿宋_GB2312" w:cs="仿宋_GB2312"/>
          <w:kern w:val="0"/>
          <w:sz w:val="32"/>
          <w:szCs w:val="32"/>
        </w:rPr>
        <w:t>行业技术进步驱动课程改革、企业真实应用驱动教学改革机制，举办好产教对话活动。争取再申报1个省级职教集团，提升现有3个职教集团的集聚和辐射功能，争创省级骨干职教集团。加强与威海产业园区、骨干企业、龙头企业深度合作，共建研发基地、成果转化中心等，新增深度合作企业15家以上，新建高标准生产性实训基地3个，争创省级智能制造实训基地。建设好已有的混合所有制产业学院，探索“建工厂式学院、办产业式专业、开发技术式课程、培养产业高端人才”。</w:t>
      </w:r>
    </w:p>
    <w:p>
      <w:pPr>
        <w:autoSpaceDE w:val="0"/>
        <w:autoSpaceDN w:val="0"/>
        <w:adjustRightInd w:val="0"/>
        <w:spacing w:line="560" w:lineRule="exact"/>
        <w:ind w:firstLine="622" w:firstLineChars="200"/>
        <w:jc w:val="left"/>
        <w:rPr>
          <w:rFonts w:ascii="仿宋_GB2312" w:hAnsi="仿宋_GB2312" w:eastAsia="仿宋_GB2312" w:cs="仿宋_GB2312"/>
          <w:color w:val="000000"/>
          <w:kern w:val="0"/>
          <w:sz w:val="32"/>
          <w:szCs w:val="32"/>
        </w:rPr>
      </w:pPr>
      <w:r>
        <w:rPr>
          <w:rFonts w:hint="eastAsia" w:ascii="楷体_GB2312" w:hAnsi="仿宋_GB2312" w:eastAsia="楷体_GB2312" w:cs="仿宋_GB2312"/>
          <w:bCs/>
          <w:kern w:val="0"/>
          <w:sz w:val="32"/>
          <w:szCs w:val="32"/>
        </w:rPr>
        <w:t>22.探索更广范围的境内外合作办学。</w:t>
      </w:r>
      <w:r>
        <w:rPr>
          <w:rFonts w:hint="eastAsia" w:ascii="仿宋_GB2312" w:hAnsi="仿宋_GB2312" w:eastAsia="仿宋_GB2312" w:cs="仿宋_GB2312"/>
          <w:kern w:val="0"/>
          <w:sz w:val="32"/>
          <w:szCs w:val="32"/>
        </w:rPr>
        <w:t>制定适合我院实际的国际合作管理机制，提升办学的国际化和科学化水平。与德国相关高校、企业、商会合作，建设混合所有制二级学院----中德智能制造学院。争取我院获批招收外国来华留学生资质。积极参与海外职业技术学院和校区建设，争取与韩国金泉大学共建我院海外分校，与成山集团合作建设“成山学院”泰国培训基地。申报与韩国信韩大学就大数据与会计专业开展中外合作办学，争取与德国柏林BBW应用技术大学就机电一体化、船舶工程等专业开展中外合作办学，与英国、日本、马来西亚等国家的高校开展电子商务、食品检验检测技术等相关专业的国际交流合作。积极参与“一带一路”</w:t>
      </w:r>
      <w:r>
        <w:rPr>
          <w:rFonts w:hint="eastAsia" w:ascii="仿宋_GB2312" w:hAnsi="仿宋_GB2312" w:eastAsia="仿宋_GB2312" w:cs="仿宋_GB2312"/>
          <w:kern w:val="0"/>
          <w:sz w:val="32"/>
          <w:szCs w:val="32"/>
          <w:lang w:eastAsia="zh-CN"/>
        </w:rPr>
        <w:t>倡议</w:t>
      </w:r>
      <w:r>
        <w:rPr>
          <w:rFonts w:hint="eastAsia" w:ascii="仿宋_GB2312" w:hAnsi="仿宋_GB2312" w:eastAsia="仿宋_GB2312" w:cs="仿宋_GB2312"/>
          <w:kern w:val="0"/>
          <w:sz w:val="32"/>
          <w:szCs w:val="32"/>
        </w:rPr>
        <w:t>实施，争取2名教师、10名以上学生赴韩国、泰国等地学习交流，促进中外人文交流。积极参加鲁台职业教育交</w:t>
      </w:r>
      <w:r>
        <w:rPr>
          <w:rFonts w:hint="eastAsia" w:ascii="仿宋_GB2312" w:hAnsi="仿宋_GB2312" w:eastAsia="仿宋_GB2312" w:cs="仿宋_GB2312"/>
          <w:color w:val="000000"/>
          <w:kern w:val="0"/>
          <w:sz w:val="32"/>
          <w:szCs w:val="32"/>
        </w:rPr>
        <w:t>流活动，增进两岸职业教育的学术交流与合作。</w:t>
      </w:r>
    </w:p>
    <w:p>
      <w:pPr>
        <w:autoSpaceDE w:val="0"/>
        <w:autoSpaceDN w:val="0"/>
        <w:adjustRightInd w:val="0"/>
        <w:spacing w:line="560" w:lineRule="exact"/>
        <w:ind w:firstLine="622" w:firstLineChars="200"/>
        <w:jc w:val="left"/>
        <w:rPr>
          <w:rFonts w:ascii="仿宋_GB2312" w:hAnsi="仿宋_GB2312" w:eastAsia="仿宋_GB2312" w:cs="仿宋_GB2312"/>
          <w:color w:val="000000"/>
          <w:kern w:val="0"/>
          <w:sz w:val="32"/>
          <w:szCs w:val="32"/>
        </w:rPr>
      </w:pPr>
      <w:r>
        <w:rPr>
          <w:rFonts w:hint="eastAsia" w:ascii="楷体_GB2312" w:hAnsi="仿宋_GB2312" w:eastAsia="楷体_GB2312" w:cs="仿宋_GB2312"/>
          <w:bCs/>
          <w:color w:val="000000"/>
          <w:kern w:val="0"/>
          <w:sz w:val="32"/>
          <w:szCs w:val="32"/>
        </w:rPr>
        <w:t>23.推进更高水平的社会服务。</w:t>
      </w:r>
      <w:r>
        <w:rPr>
          <w:rFonts w:hint="eastAsia" w:ascii="仿宋_GB2312" w:hAnsi="仿宋_GB2312" w:eastAsia="仿宋_GB2312" w:cs="仿宋_GB2312"/>
          <w:bCs/>
          <w:color w:val="000000"/>
          <w:kern w:val="0"/>
          <w:sz w:val="32"/>
          <w:szCs w:val="32"/>
        </w:rPr>
        <w:t>积极参与职业教育赋能产业转型升级系列行动，</w:t>
      </w:r>
      <w:r>
        <w:rPr>
          <w:rFonts w:hint="eastAsia" w:ascii="仿宋_GB2312" w:hAnsi="仿宋_GB2312" w:eastAsia="仿宋_GB2312" w:cs="仿宋_GB2312"/>
          <w:color w:val="000000"/>
          <w:kern w:val="0"/>
          <w:sz w:val="32"/>
          <w:szCs w:val="32"/>
        </w:rPr>
        <w:t>建设省、市级科技攻关创新团队，完成省、市级技术应用研发项目和横向课题技术应用研究项目，加大对横向经费到款额和科技成果转化到款额考核力度。新增发明专利授权9项，有效发明专利拥有量达到18项，取得市厅级科技成果奖1项，联合申报省级科技成果奖1项。运营好威海市海洋生物健康促进中心，最大化释放服务社会职能，争创省级健康促进中心。构建完备的社会培训服务体系，组织开展安全生产、创新创业、再就业、电商运营、红色教育、传统文化、农村劳动力转移和技能扶贫等培训和现代农民培育，计划培训培育各类人员约9000人次，争创全省助力“八大战略”示范校。取得“金蓝领”、职业技能社会评价机构等培训资质，开展好技能鉴定和证书发放工作。</w:t>
      </w:r>
    </w:p>
    <w:p>
      <w:pPr>
        <w:autoSpaceDE w:val="0"/>
        <w:autoSpaceDN w:val="0"/>
        <w:adjustRightInd w:val="0"/>
        <w:spacing w:line="560" w:lineRule="exact"/>
        <w:ind w:firstLine="622" w:firstLineChars="200"/>
        <w:jc w:val="left"/>
        <w:rPr>
          <w:rFonts w:ascii="黑体" w:hAnsi="黑体" w:eastAsia="黑体" w:cs="仿宋_GB2312"/>
          <w:color w:val="000000"/>
          <w:kern w:val="0"/>
          <w:sz w:val="32"/>
          <w:szCs w:val="32"/>
        </w:rPr>
      </w:pPr>
      <w:r>
        <w:rPr>
          <w:rFonts w:hint="eastAsia" w:ascii="黑体" w:hAnsi="黑体" w:eastAsia="黑体" w:cs="仿宋_GB2312"/>
          <w:color w:val="000000"/>
          <w:kern w:val="0"/>
          <w:sz w:val="32"/>
          <w:szCs w:val="32"/>
        </w:rPr>
        <w:t>六、坚定不移抓好管理服务，全力创设良好发展环境。</w:t>
      </w:r>
    </w:p>
    <w:p>
      <w:pPr>
        <w:autoSpaceDE w:val="0"/>
        <w:autoSpaceDN w:val="0"/>
        <w:adjustRightInd w:val="0"/>
        <w:spacing w:line="560" w:lineRule="exact"/>
        <w:ind w:firstLine="622" w:firstLineChars="200"/>
        <w:jc w:val="left"/>
        <w:rPr>
          <w:rFonts w:ascii="仿宋_GB2312" w:hAnsi="仿宋_GB2312" w:eastAsia="仿宋_GB2312" w:cs="仿宋_GB2312"/>
          <w:color w:val="000000"/>
          <w:kern w:val="0"/>
          <w:sz w:val="32"/>
          <w:szCs w:val="32"/>
        </w:rPr>
      </w:pPr>
      <w:r>
        <w:rPr>
          <w:rFonts w:hint="eastAsia" w:ascii="楷体_GB2312" w:hAnsi="仿宋_GB2312" w:eastAsia="楷体_GB2312" w:cs="仿宋_GB2312"/>
          <w:color w:val="000000"/>
          <w:kern w:val="0"/>
          <w:sz w:val="32"/>
          <w:szCs w:val="32"/>
        </w:rPr>
        <w:t>24.抓好常态化疫情防控。</w:t>
      </w:r>
      <w:r>
        <w:rPr>
          <w:rFonts w:hint="eastAsia" w:ascii="仿宋_GB2312" w:hAnsi="仿宋_GB2312" w:eastAsia="仿宋_GB2312" w:cs="仿宋_GB2312"/>
          <w:color w:val="000000"/>
          <w:kern w:val="0"/>
          <w:sz w:val="32"/>
          <w:szCs w:val="32"/>
        </w:rPr>
        <w:t>编制和完善好方案、预案、制度，加强与卫生健康、市场监管、公安、医疗等部门的联系，健全联防联控机制。加强对人员全面摸排并建立健康台账，重点做好“四类人群”摸排检测，落实食堂涉冷链食品人员定期检测要求，做到发热人员“应检尽检”。加强校园相对封闭管理，严格落实出入“测温+健康码”、“一日三检”、“日报告、零报告”、缺课登记追踪和报告等制度，科学安排教育教学活动。</w:t>
      </w:r>
    </w:p>
    <w:p>
      <w:pPr>
        <w:autoSpaceDE w:val="0"/>
        <w:autoSpaceDN w:val="0"/>
        <w:adjustRightInd w:val="0"/>
        <w:spacing w:line="560" w:lineRule="exact"/>
        <w:ind w:firstLine="622" w:firstLineChars="200"/>
        <w:jc w:val="left"/>
        <w:rPr>
          <w:rFonts w:ascii="仿宋_GB2312" w:hAnsi="仿宋_GB2312" w:eastAsia="仿宋_GB2312" w:cs="仿宋_GB2312"/>
          <w:color w:val="000000"/>
          <w:kern w:val="0"/>
          <w:sz w:val="32"/>
          <w:szCs w:val="32"/>
        </w:rPr>
      </w:pPr>
      <w:r>
        <w:rPr>
          <w:rFonts w:hint="eastAsia" w:ascii="楷体_GB2312" w:hAnsi="仿宋_GB2312" w:eastAsia="楷体_GB2312" w:cs="仿宋_GB2312"/>
          <w:color w:val="000000"/>
          <w:kern w:val="0"/>
          <w:sz w:val="32"/>
          <w:szCs w:val="32"/>
        </w:rPr>
        <w:t>25.抓好校园安全稳定。</w:t>
      </w:r>
      <w:r>
        <w:rPr>
          <w:rFonts w:hint="eastAsia" w:ascii="仿宋_GB2312" w:hAnsi="仿宋_GB2312" w:eastAsia="仿宋_GB2312" w:cs="仿宋_GB2312"/>
          <w:color w:val="000000"/>
          <w:kern w:val="0"/>
          <w:sz w:val="32"/>
          <w:szCs w:val="32"/>
        </w:rPr>
        <w:t>全面落实安全生产责任制，完善源头防控体系，深入开展安全教育和应急演练，强化专项教育和治理，坚决防止各类安全事故的发生。全面落实信访安全责任制和网络安全责任制。加强新闻宣传工作，提高舆情应对处置能力。</w:t>
      </w:r>
    </w:p>
    <w:p>
      <w:pPr>
        <w:autoSpaceDE w:val="0"/>
        <w:autoSpaceDN w:val="0"/>
        <w:adjustRightInd w:val="0"/>
        <w:spacing w:line="560" w:lineRule="exact"/>
        <w:ind w:firstLine="622" w:firstLineChars="200"/>
        <w:jc w:val="left"/>
        <w:rPr>
          <w:rFonts w:ascii="仿宋_GB2312" w:hAnsi="仿宋_GB2312" w:eastAsia="仿宋_GB2312" w:cs="仿宋_GB2312"/>
          <w:color w:val="000000"/>
          <w:kern w:val="0"/>
          <w:sz w:val="32"/>
          <w:szCs w:val="32"/>
        </w:rPr>
      </w:pPr>
      <w:r>
        <w:rPr>
          <w:rFonts w:hint="eastAsia" w:ascii="楷体_GB2312" w:hAnsi="仿宋_GB2312" w:eastAsia="楷体_GB2312" w:cs="仿宋_GB2312"/>
          <w:color w:val="000000"/>
          <w:kern w:val="0"/>
          <w:sz w:val="32"/>
          <w:szCs w:val="32"/>
        </w:rPr>
        <w:t>26.抓好办学条件优化。</w:t>
      </w:r>
      <w:r>
        <w:rPr>
          <w:rFonts w:hint="eastAsia" w:ascii="仿宋_GB2312" w:hAnsi="仿宋_GB2312" w:eastAsia="仿宋_GB2312" w:cs="仿宋_GB2312"/>
          <w:color w:val="000000"/>
          <w:kern w:val="0"/>
          <w:sz w:val="32"/>
          <w:szCs w:val="32"/>
        </w:rPr>
        <w:t>深化精致校园建设，持续实施校园绿化、美化、亮化提升工程。成立项目一期建设工作专班，高标准、高质量推进威海现代海洋协同创新公共实训基地建设。优质高效推进较大维修改造项目。优化图书馆空间布局，加强文献资源建设，积极开展阅读推广活动。</w:t>
      </w:r>
    </w:p>
    <w:p>
      <w:pPr>
        <w:autoSpaceDE w:val="0"/>
        <w:autoSpaceDN w:val="0"/>
        <w:adjustRightInd w:val="0"/>
        <w:spacing w:line="560" w:lineRule="exact"/>
        <w:ind w:firstLine="622" w:firstLineChars="200"/>
        <w:jc w:val="left"/>
        <w:rPr>
          <w:rFonts w:ascii="仿宋_GB2312" w:hAnsi="仿宋_GB2312" w:eastAsia="仿宋_GB2312" w:cs="仿宋_GB2312"/>
          <w:color w:val="000000"/>
          <w:kern w:val="0"/>
          <w:sz w:val="32"/>
          <w:szCs w:val="32"/>
        </w:rPr>
      </w:pPr>
      <w:r>
        <w:rPr>
          <w:rFonts w:hint="eastAsia" w:ascii="楷体_GB2312" w:hAnsi="仿宋_GB2312" w:eastAsia="楷体_GB2312" w:cs="仿宋_GB2312"/>
          <w:color w:val="000000"/>
          <w:kern w:val="0"/>
          <w:sz w:val="32"/>
          <w:szCs w:val="32"/>
        </w:rPr>
        <w:t>27.要抓好财务资产管理。</w:t>
      </w:r>
      <w:r>
        <w:rPr>
          <w:rFonts w:hint="eastAsia" w:ascii="仿宋_GB2312" w:hAnsi="仿宋_GB2312" w:eastAsia="仿宋_GB2312" w:cs="仿宋_GB2312"/>
          <w:color w:val="000000"/>
          <w:kern w:val="0"/>
          <w:sz w:val="32"/>
          <w:szCs w:val="32"/>
        </w:rPr>
        <w:t>严格落实财务预算要求，完善优化报销系统流程，抓好规范化工作，切实提高财务工作效率和水平。贯彻“统一领导、归口管理、分级负责、责任到人”的原则，建立信息化管理系统，优化资源配置，提高资产使用率。加强招标采购制度建设，强化内部控制，规范采购流程，依法依规操作，做到“公平、公正、公开、阳光透明”。</w:t>
      </w:r>
    </w:p>
    <w:p>
      <w:pPr>
        <w:spacing w:line="560" w:lineRule="exact"/>
        <w:ind w:firstLine="622"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附件：2021年党政工作要点任务分解表</w:t>
      </w:r>
    </w:p>
    <w:p>
      <w:pPr>
        <w:spacing w:line="560" w:lineRule="exact"/>
        <w:ind w:firstLine="622" w:firstLineChars="200"/>
        <w:jc w:val="right"/>
        <w:rPr>
          <w:rFonts w:ascii="仿宋_GB2312" w:hAnsi="仿宋_GB2312" w:eastAsia="仿宋_GB2312" w:cs="仿宋_GB2312"/>
          <w:sz w:val="32"/>
          <w:szCs w:val="32"/>
        </w:rPr>
      </w:pPr>
    </w:p>
    <w:p>
      <w:pPr>
        <w:spacing w:line="560" w:lineRule="exact"/>
        <w:ind w:firstLine="622" w:firstLineChars="200"/>
        <w:jc w:val="right"/>
        <w:rPr>
          <w:rFonts w:ascii="仿宋_GB2312" w:hAnsi="仿宋_GB2312" w:eastAsia="仿宋_GB2312" w:cs="仿宋_GB2312"/>
          <w:sz w:val="32"/>
          <w:szCs w:val="32"/>
        </w:rPr>
      </w:pPr>
    </w:p>
    <w:p>
      <w:pPr>
        <w:spacing w:line="560" w:lineRule="exact"/>
        <w:ind w:firstLine="622" w:firstLineChars="2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威海海洋职业学院</w:t>
      </w:r>
    </w:p>
    <w:p>
      <w:pPr>
        <w:spacing w:line="560" w:lineRule="exact"/>
        <w:ind w:firstLine="622" w:firstLineChars="2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2021年3月16日</w:t>
      </w:r>
    </w:p>
    <w:p>
      <w:pPr>
        <w:spacing w:line="560" w:lineRule="exact"/>
        <w:ind w:firstLine="622" w:firstLineChars="200"/>
        <w:jc w:val="right"/>
        <w:rPr>
          <w:rFonts w:ascii="仿宋_GB2312" w:hAnsi="仿宋_GB2312" w:eastAsia="仿宋_GB2312" w:cs="仿宋_GB2312"/>
          <w:sz w:val="32"/>
          <w:szCs w:val="32"/>
        </w:rPr>
      </w:pPr>
    </w:p>
    <w:p>
      <w:pPr>
        <w:spacing w:line="560" w:lineRule="exact"/>
        <w:ind w:firstLine="622" w:firstLineChars="200"/>
        <w:jc w:val="right"/>
        <w:rPr>
          <w:rFonts w:ascii="仿宋_GB2312" w:hAnsi="仿宋_GB2312" w:eastAsia="仿宋_GB2312" w:cs="仿宋_GB2312"/>
          <w:sz w:val="32"/>
          <w:szCs w:val="32"/>
        </w:rPr>
      </w:pPr>
    </w:p>
    <w:p>
      <w:pPr>
        <w:spacing w:line="560" w:lineRule="exact"/>
        <w:ind w:firstLine="622" w:firstLineChars="200"/>
        <w:jc w:val="right"/>
        <w:rPr>
          <w:rFonts w:ascii="仿宋_GB2312" w:hAnsi="仿宋_GB2312" w:eastAsia="仿宋_GB2312" w:cs="仿宋_GB2312"/>
          <w:sz w:val="32"/>
          <w:szCs w:val="32"/>
        </w:rPr>
      </w:pPr>
    </w:p>
    <w:p>
      <w:pPr>
        <w:spacing w:line="560" w:lineRule="exact"/>
        <w:jc w:val="center"/>
        <w:rPr>
          <w:rFonts w:ascii="方正小标宋简体" w:hAnsi="方正小标宋简体" w:eastAsia="方正小标宋简体" w:cs="方正小标宋简体"/>
          <w:sz w:val="44"/>
          <w:szCs w:val="44"/>
        </w:rPr>
        <w:sectPr>
          <w:footerReference r:id="rId4" w:type="first"/>
          <w:footerReference r:id="rId3" w:type="default"/>
          <w:pgSz w:w="11906" w:h="16838"/>
          <w:pgMar w:top="2098" w:right="1474" w:bottom="1701" w:left="1588" w:header="851" w:footer="1247" w:gutter="0"/>
          <w:pgNumType w:fmt="numberInDash"/>
          <w:cols w:space="425" w:num="1"/>
          <w:titlePg/>
          <w:docGrid w:type="linesAndChars" w:linePitch="579" w:charSpace="-1844"/>
        </w:sectPr>
      </w:pP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2021年党政工作要点任务分解表</w:t>
      </w:r>
    </w:p>
    <w:tbl>
      <w:tblPr>
        <w:tblStyle w:val="6"/>
        <w:tblpPr w:leftFromText="180" w:rightFromText="180" w:vertAnchor="text" w:horzAnchor="margin" w:tblpXSpec="center" w:tblpY="105"/>
        <w:tblW w:w="146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
        <w:gridCol w:w="995"/>
        <w:gridCol w:w="8499"/>
        <w:gridCol w:w="1315"/>
        <w:gridCol w:w="1706"/>
        <w:gridCol w:w="11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10456" w:type="dxa"/>
            <w:gridSpan w:val="3"/>
            <w:vAlign w:val="center"/>
          </w:tcPr>
          <w:p>
            <w:pPr>
              <w:spacing w:line="300" w:lineRule="exact"/>
              <w:jc w:val="center"/>
              <w:rPr>
                <w:rFonts w:ascii="黑体" w:hAnsi="黑体" w:eastAsia="黑体" w:cs="仿宋_GB2312"/>
                <w:szCs w:val="21"/>
              </w:rPr>
            </w:pPr>
            <w:r>
              <w:rPr>
                <w:rFonts w:hint="eastAsia" w:ascii="黑体" w:hAnsi="黑体" w:eastAsia="黑体" w:cs="仿宋_GB2312"/>
                <w:sz w:val="24"/>
                <w:szCs w:val="21"/>
              </w:rPr>
              <w:t>主要工作</w:t>
            </w:r>
          </w:p>
        </w:tc>
        <w:tc>
          <w:tcPr>
            <w:tcW w:w="1315" w:type="dxa"/>
            <w:vAlign w:val="center"/>
          </w:tcPr>
          <w:p>
            <w:pPr>
              <w:spacing w:line="300" w:lineRule="exact"/>
              <w:jc w:val="center"/>
              <w:rPr>
                <w:rFonts w:ascii="黑体" w:hAnsi="黑体" w:eastAsia="黑体" w:cs="仿宋_GB2312"/>
                <w:sz w:val="24"/>
                <w:szCs w:val="21"/>
              </w:rPr>
            </w:pPr>
            <w:r>
              <w:rPr>
                <w:rFonts w:hint="eastAsia" w:ascii="黑体" w:hAnsi="黑体" w:eastAsia="黑体" w:cs="仿宋_GB2312"/>
                <w:sz w:val="24"/>
                <w:szCs w:val="21"/>
              </w:rPr>
              <w:t>牵头</w:t>
            </w:r>
          </w:p>
          <w:p>
            <w:pPr>
              <w:spacing w:line="300" w:lineRule="exact"/>
              <w:jc w:val="center"/>
              <w:rPr>
                <w:rFonts w:ascii="黑体" w:hAnsi="黑体" w:eastAsia="黑体" w:cs="仿宋_GB2312"/>
                <w:sz w:val="24"/>
                <w:szCs w:val="21"/>
              </w:rPr>
            </w:pPr>
            <w:r>
              <w:rPr>
                <w:rFonts w:hint="eastAsia" w:ascii="黑体" w:hAnsi="黑体" w:eastAsia="黑体" w:cs="仿宋_GB2312"/>
                <w:sz w:val="24"/>
                <w:szCs w:val="21"/>
              </w:rPr>
              <w:t>责任部门</w:t>
            </w:r>
          </w:p>
        </w:tc>
        <w:tc>
          <w:tcPr>
            <w:tcW w:w="1706" w:type="dxa"/>
            <w:vAlign w:val="center"/>
          </w:tcPr>
          <w:p>
            <w:pPr>
              <w:spacing w:line="300" w:lineRule="exact"/>
              <w:jc w:val="center"/>
              <w:rPr>
                <w:rFonts w:ascii="黑体" w:hAnsi="黑体" w:eastAsia="黑体" w:cs="仿宋_GB2312"/>
                <w:sz w:val="24"/>
                <w:szCs w:val="21"/>
              </w:rPr>
            </w:pPr>
            <w:r>
              <w:rPr>
                <w:rFonts w:hint="eastAsia" w:ascii="黑体" w:hAnsi="黑体" w:eastAsia="黑体" w:cs="仿宋_GB2312"/>
                <w:sz w:val="24"/>
                <w:szCs w:val="21"/>
              </w:rPr>
              <w:t>协同</w:t>
            </w:r>
          </w:p>
          <w:p>
            <w:pPr>
              <w:spacing w:line="300" w:lineRule="exact"/>
              <w:jc w:val="center"/>
              <w:rPr>
                <w:rFonts w:ascii="黑体" w:hAnsi="黑体" w:eastAsia="黑体" w:cs="仿宋_GB2312"/>
                <w:sz w:val="24"/>
                <w:szCs w:val="21"/>
              </w:rPr>
            </w:pPr>
            <w:r>
              <w:rPr>
                <w:rFonts w:hint="eastAsia" w:ascii="黑体" w:hAnsi="黑体" w:eastAsia="黑体" w:cs="仿宋_GB2312"/>
                <w:sz w:val="24"/>
                <w:szCs w:val="21"/>
              </w:rPr>
              <w:t>责任部门</w:t>
            </w:r>
          </w:p>
        </w:tc>
        <w:tc>
          <w:tcPr>
            <w:tcW w:w="1138" w:type="dxa"/>
            <w:vAlign w:val="center"/>
          </w:tcPr>
          <w:p>
            <w:pPr>
              <w:spacing w:line="300" w:lineRule="exact"/>
              <w:jc w:val="center"/>
              <w:rPr>
                <w:rFonts w:ascii="黑体" w:hAnsi="黑体" w:eastAsia="黑体" w:cs="仿宋_GB2312"/>
                <w:spacing w:val="-6"/>
                <w:sz w:val="24"/>
                <w:szCs w:val="21"/>
              </w:rPr>
            </w:pPr>
            <w:r>
              <w:rPr>
                <w:rFonts w:hint="eastAsia" w:ascii="黑体" w:hAnsi="黑体" w:eastAsia="黑体" w:cs="仿宋_GB2312"/>
                <w:spacing w:val="-6"/>
                <w:sz w:val="24"/>
                <w:szCs w:val="21"/>
              </w:rPr>
              <w:t>牵头</w:t>
            </w:r>
          </w:p>
          <w:p>
            <w:pPr>
              <w:spacing w:line="300" w:lineRule="exact"/>
              <w:jc w:val="center"/>
              <w:rPr>
                <w:rFonts w:ascii="黑体" w:hAnsi="黑体" w:eastAsia="黑体" w:cs="仿宋_GB2312"/>
                <w:spacing w:val="-6"/>
                <w:sz w:val="24"/>
                <w:szCs w:val="21"/>
              </w:rPr>
            </w:pPr>
            <w:r>
              <w:rPr>
                <w:rFonts w:hint="eastAsia" w:ascii="黑体" w:hAnsi="黑体" w:eastAsia="黑体" w:cs="仿宋_GB2312"/>
                <w:spacing w:val="-6"/>
                <w:sz w:val="24"/>
                <w:szCs w:val="21"/>
              </w:rPr>
              <w:t>责任人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962" w:type="dxa"/>
            <w:vMerge w:val="restart"/>
            <w:vAlign w:val="center"/>
          </w:tcPr>
          <w:p>
            <w:pPr>
              <w:spacing w:line="280" w:lineRule="exact"/>
              <w:jc w:val="center"/>
              <w:rPr>
                <w:rFonts w:ascii="仿宋_GB2312" w:hAnsi="黑体" w:eastAsia="仿宋_GB2312" w:cs="仿宋_GB2312"/>
                <w:szCs w:val="21"/>
              </w:rPr>
            </w:pPr>
            <w:r>
              <w:rPr>
                <w:rFonts w:hint="eastAsia" w:ascii="仿宋_GB2312" w:hAnsi="黑体" w:eastAsia="仿宋_GB2312" w:cs="仿宋_GB2312"/>
                <w:szCs w:val="21"/>
              </w:rPr>
              <w:t>一、坚定不移抓牢党的建设，引领和保障高质量发展。</w:t>
            </w:r>
          </w:p>
        </w:tc>
        <w:tc>
          <w:tcPr>
            <w:tcW w:w="995" w:type="dxa"/>
            <w:vMerge w:val="restart"/>
            <w:vAlign w:val="center"/>
          </w:tcPr>
          <w:p>
            <w:pPr>
              <w:spacing w:line="280" w:lineRule="exact"/>
              <w:jc w:val="center"/>
              <w:rPr>
                <w:rFonts w:ascii="仿宋_GB2312" w:hAnsi="黑体" w:eastAsia="仿宋_GB2312" w:cs="仿宋_GB2312"/>
                <w:szCs w:val="21"/>
              </w:rPr>
            </w:pPr>
            <w:r>
              <w:rPr>
                <w:rFonts w:hint="eastAsia" w:ascii="仿宋_GB2312" w:hAnsi="黑体" w:eastAsia="仿宋_GB2312" w:cs="仿宋_GB2312"/>
                <w:szCs w:val="21"/>
              </w:rPr>
              <w:t>1.强化科学理论武装。</w:t>
            </w:r>
          </w:p>
        </w:tc>
        <w:tc>
          <w:tcPr>
            <w:tcW w:w="8499" w:type="dxa"/>
            <w:vAlign w:val="center"/>
          </w:tcPr>
          <w:p>
            <w:pPr>
              <w:spacing w:line="300" w:lineRule="exact"/>
              <w:jc w:val="left"/>
              <w:rPr>
                <w:rFonts w:ascii="仿宋_GB2312" w:hAnsi="黑体" w:eastAsia="仿宋_GB2312" w:cs="仿宋_GB2312"/>
                <w:szCs w:val="21"/>
              </w:rPr>
            </w:pPr>
            <w:r>
              <w:rPr>
                <w:rFonts w:hint="eastAsia" w:ascii="仿宋_GB2312" w:hAnsi="黑体" w:eastAsia="仿宋_GB2312" w:cs="仿宋_GB2312"/>
                <w:szCs w:val="21"/>
              </w:rPr>
              <w:t>深入开展迎接建党100周年“百年行动”系列活动，全面抓好党委理论中心组学习和干部师生教育培训。深入开展“四史”教育，重点抓好党史学习教育，做到学史明理、学史增信、学史崇德、学史力行。</w:t>
            </w:r>
          </w:p>
        </w:tc>
        <w:tc>
          <w:tcPr>
            <w:tcW w:w="1315" w:type="dxa"/>
            <w:vAlign w:val="center"/>
          </w:tcPr>
          <w:p>
            <w:pPr>
              <w:spacing w:line="300" w:lineRule="exact"/>
              <w:jc w:val="center"/>
              <w:rPr>
                <w:rFonts w:ascii="仿宋_GB2312" w:hAnsi="黑体" w:eastAsia="仿宋_GB2312" w:cs="仿宋_GB2312"/>
                <w:szCs w:val="21"/>
              </w:rPr>
            </w:pPr>
            <w:r>
              <w:rPr>
                <w:rFonts w:hint="eastAsia" w:ascii="仿宋_GB2312" w:hAnsi="黑体" w:eastAsia="仿宋_GB2312" w:cs="仿宋_GB2312"/>
                <w:szCs w:val="21"/>
              </w:rPr>
              <w:t>宣传部</w:t>
            </w:r>
          </w:p>
        </w:tc>
        <w:tc>
          <w:tcPr>
            <w:tcW w:w="1706" w:type="dxa"/>
            <w:vAlign w:val="center"/>
          </w:tcPr>
          <w:p>
            <w:pPr>
              <w:spacing w:line="240" w:lineRule="exact"/>
              <w:jc w:val="center"/>
              <w:rPr>
                <w:rFonts w:ascii="仿宋_GB2312" w:hAnsi="黑体" w:eastAsia="仿宋_GB2312" w:cs="仿宋_GB2312"/>
                <w:szCs w:val="21"/>
              </w:rPr>
            </w:pPr>
            <w:r>
              <w:rPr>
                <w:rFonts w:hint="eastAsia" w:ascii="仿宋_GB2312" w:hAnsi="黑体" w:eastAsia="仿宋_GB2312" w:cs="仿宋_GB2312"/>
                <w:szCs w:val="21"/>
              </w:rPr>
              <w:t>组织人事处</w:t>
            </w:r>
          </w:p>
          <w:p>
            <w:pPr>
              <w:spacing w:line="240" w:lineRule="exact"/>
              <w:jc w:val="center"/>
              <w:rPr>
                <w:rFonts w:ascii="仿宋_GB2312" w:hAnsi="黑体" w:eastAsia="仿宋_GB2312" w:cs="仿宋_GB2312"/>
                <w:szCs w:val="21"/>
              </w:rPr>
            </w:pPr>
            <w:r>
              <w:rPr>
                <w:rFonts w:hint="eastAsia" w:ascii="仿宋_GB2312" w:hAnsi="黑体" w:eastAsia="仿宋_GB2312" w:cs="仿宋_GB2312"/>
                <w:szCs w:val="21"/>
              </w:rPr>
              <w:t>党政办</w:t>
            </w:r>
          </w:p>
        </w:tc>
        <w:tc>
          <w:tcPr>
            <w:tcW w:w="1138" w:type="dxa"/>
            <w:vAlign w:val="center"/>
          </w:tcPr>
          <w:p>
            <w:pPr>
              <w:spacing w:line="300" w:lineRule="exact"/>
              <w:jc w:val="center"/>
              <w:rPr>
                <w:rFonts w:ascii="仿宋_GB2312" w:hAnsi="黑体" w:eastAsia="仿宋_GB2312" w:cs="仿宋_GB2312"/>
                <w:szCs w:val="21"/>
              </w:rPr>
            </w:pPr>
            <w:r>
              <w:rPr>
                <w:rFonts w:hint="eastAsia" w:ascii="仿宋_GB2312" w:hAnsi="黑体" w:eastAsia="仿宋_GB2312" w:cs="仿宋_GB2312"/>
                <w:szCs w:val="21"/>
              </w:rPr>
              <w:t>陈  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62" w:type="dxa"/>
            <w:vMerge w:val="continue"/>
            <w:vAlign w:val="center"/>
          </w:tcPr>
          <w:p>
            <w:pPr>
              <w:spacing w:line="280" w:lineRule="exact"/>
              <w:jc w:val="center"/>
              <w:rPr>
                <w:rFonts w:ascii="仿宋_GB2312" w:hAnsi="黑体" w:eastAsia="仿宋_GB2312" w:cs="仿宋_GB2312"/>
                <w:sz w:val="32"/>
                <w:szCs w:val="32"/>
              </w:rPr>
            </w:pPr>
          </w:p>
        </w:tc>
        <w:tc>
          <w:tcPr>
            <w:tcW w:w="995" w:type="dxa"/>
            <w:vMerge w:val="continue"/>
            <w:vAlign w:val="center"/>
          </w:tcPr>
          <w:p>
            <w:pPr>
              <w:spacing w:line="280" w:lineRule="exact"/>
              <w:jc w:val="center"/>
              <w:rPr>
                <w:rFonts w:ascii="仿宋_GB2312" w:hAnsi="黑体" w:eastAsia="仿宋_GB2312" w:cs="仿宋_GB2312"/>
                <w:sz w:val="32"/>
                <w:szCs w:val="32"/>
              </w:rPr>
            </w:pPr>
          </w:p>
        </w:tc>
        <w:tc>
          <w:tcPr>
            <w:tcW w:w="8499" w:type="dxa"/>
            <w:vAlign w:val="center"/>
          </w:tcPr>
          <w:p>
            <w:pPr>
              <w:spacing w:line="300" w:lineRule="exact"/>
              <w:jc w:val="left"/>
              <w:rPr>
                <w:rFonts w:ascii="仿宋_GB2312" w:hAnsi="黑体" w:eastAsia="仿宋_GB2312" w:cs="仿宋_GB2312"/>
                <w:szCs w:val="21"/>
              </w:rPr>
            </w:pPr>
            <w:r>
              <w:rPr>
                <w:rFonts w:hint="eastAsia" w:ascii="仿宋_GB2312" w:hAnsi="黑体" w:eastAsia="仿宋_GB2312" w:cs="仿宋_GB2312"/>
                <w:szCs w:val="21"/>
              </w:rPr>
              <w:t>持续巩固深化“不忘初心、牢记使命”主题教育成果，引导干部师生树牢“四个意识”、坚定“四个自信”、做到“两个维护”。</w:t>
            </w:r>
          </w:p>
        </w:tc>
        <w:tc>
          <w:tcPr>
            <w:tcW w:w="1315" w:type="dxa"/>
            <w:vAlign w:val="center"/>
          </w:tcPr>
          <w:p>
            <w:pPr>
              <w:spacing w:line="300" w:lineRule="exact"/>
              <w:jc w:val="center"/>
              <w:rPr>
                <w:rFonts w:ascii="仿宋_GB2312" w:hAnsi="黑体" w:eastAsia="仿宋_GB2312" w:cs="仿宋_GB2312"/>
                <w:szCs w:val="21"/>
              </w:rPr>
            </w:pPr>
            <w:r>
              <w:rPr>
                <w:rFonts w:hint="eastAsia" w:ascii="仿宋_GB2312" w:hAnsi="黑体" w:eastAsia="仿宋_GB2312" w:cs="仿宋_GB2312"/>
                <w:szCs w:val="21"/>
              </w:rPr>
              <w:t>组织人事处</w:t>
            </w:r>
          </w:p>
        </w:tc>
        <w:tc>
          <w:tcPr>
            <w:tcW w:w="1706" w:type="dxa"/>
            <w:vAlign w:val="center"/>
          </w:tcPr>
          <w:p>
            <w:pPr>
              <w:spacing w:line="240" w:lineRule="exact"/>
              <w:jc w:val="center"/>
              <w:rPr>
                <w:rFonts w:ascii="仿宋_GB2312" w:hAnsi="黑体" w:eastAsia="仿宋_GB2312" w:cs="仿宋_GB2312"/>
                <w:szCs w:val="21"/>
              </w:rPr>
            </w:pPr>
            <w:r>
              <w:rPr>
                <w:rFonts w:hint="eastAsia" w:ascii="仿宋_GB2312" w:hAnsi="黑体" w:eastAsia="仿宋_GB2312" w:cs="仿宋_GB2312"/>
                <w:szCs w:val="21"/>
              </w:rPr>
              <w:t>各处室（馆、中心）、系部</w:t>
            </w:r>
          </w:p>
        </w:tc>
        <w:tc>
          <w:tcPr>
            <w:tcW w:w="1138" w:type="dxa"/>
            <w:vAlign w:val="center"/>
          </w:tcPr>
          <w:p>
            <w:pPr>
              <w:spacing w:line="300" w:lineRule="exact"/>
              <w:jc w:val="center"/>
              <w:rPr>
                <w:rFonts w:ascii="仿宋_GB2312" w:hAnsi="黑体" w:eastAsia="仿宋_GB2312" w:cs="仿宋_GB2312"/>
                <w:szCs w:val="21"/>
              </w:rPr>
            </w:pPr>
            <w:r>
              <w:rPr>
                <w:rFonts w:hint="eastAsia" w:ascii="仿宋_GB2312" w:hAnsi="黑体" w:eastAsia="仿宋_GB2312" w:cs="仿宋_GB2312"/>
                <w:szCs w:val="21"/>
              </w:rPr>
              <w:t>王军强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trPr>
        <w:tc>
          <w:tcPr>
            <w:tcW w:w="962" w:type="dxa"/>
            <w:vMerge w:val="continue"/>
            <w:vAlign w:val="center"/>
          </w:tcPr>
          <w:p>
            <w:pPr>
              <w:spacing w:line="280" w:lineRule="exact"/>
              <w:jc w:val="center"/>
              <w:rPr>
                <w:rFonts w:ascii="仿宋_GB2312" w:hAnsi="黑体" w:eastAsia="仿宋_GB2312" w:cs="仿宋_GB2312"/>
                <w:szCs w:val="21"/>
              </w:rPr>
            </w:pPr>
          </w:p>
        </w:tc>
        <w:tc>
          <w:tcPr>
            <w:tcW w:w="995" w:type="dxa"/>
            <w:vAlign w:val="center"/>
          </w:tcPr>
          <w:p>
            <w:pPr>
              <w:spacing w:line="280" w:lineRule="exact"/>
              <w:jc w:val="center"/>
              <w:rPr>
                <w:rFonts w:ascii="仿宋_GB2312" w:hAnsi="黑体" w:eastAsia="仿宋_GB2312" w:cs="仿宋_GB2312"/>
                <w:szCs w:val="21"/>
              </w:rPr>
            </w:pPr>
            <w:r>
              <w:rPr>
                <w:rFonts w:hint="eastAsia" w:ascii="仿宋_GB2312" w:hAnsi="黑体" w:eastAsia="仿宋_GB2312" w:cs="仿宋_GB2312"/>
                <w:szCs w:val="21"/>
              </w:rPr>
              <w:t>2.夯实党建基层基础。</w:t>
            </w:r>
          </w:p>
        </w:tc>
        <w:tc>
          <w:tcPr>
            <w:tcW w:w="8499" w:type="dxa"/>
            <w:vAlign w:val="center"/>
          </w:tcPr>
          <w:p>
            <w:pPr>
              <w:spacing w:line="300" w:lineRule="exact"/>
              <w:jc w:val="left"/>
              <w:rPr>
                <w:rFonts w:ascii="仿宋_GB2312" w:hAnsi="黑体" w:eastAsia="仿宋_GB2312" w:cs="仿宋_GB2312"/>
                <w:szCs w:val="21"/>
              </w:rPr>
            </w:pPr>
            <w:r>
              <w:rPr>
                <w:rFonts w:hint="eastAsia" w:ascii="仿宋_GB2312" w:hAnsi="黑体" w:eastAsia="仿宋_GB2312" w:cs="仿宋_GB2312"/>
                <w:szCs w:val="21"/>
              </w:rPr>
              <w:t>贯彻落实新修订的《中国共产党普通高等学校基层党组织工作条例》，扎实推进学院基层党建质量提升工程。各基层党组织对照中组部、教育部党组印发的示范文本，修订完善党组织会议和党政联席会议议事规则。规范做好党员发展工作。加大优秀年轻干部培养和选任力度。开展特色鲜明、形式多样的支部活动，着力打造新一批党建示范单位和示范党支部。</w:t>
            </w:r>
          </w:p>
        </w:tc>
        <w:tc>
          <w:tcPr>
            <w:tcW w:w="1315" w:type="dxa"/>
            <w:vAlign w:val="center"/>
          </w:tcPr>
          <w:p>
            <w:pPr>
              <w:spacing w:line="300" w:lineRule="exact"/>
              <w:jc w:val="center"/>
              <w:rPr>
                <w:rFonts w:ascii="仿宋_GB2312" w:hAnsi="黑体" w:eastAsia="仿宋_GB2312" w:cs="仿宋_GB2312"/>
                <w:szCs w:val="21"/>
              </w:rPr>
            </w:pPr>
            <w:r>
              <w:rPr>
                <w:rFonts w:hint="eastAsia" w:ascii="仿宋_GB2312" w:hAnsi="黑体" w:eastAsia="仿宋_GB2312" w:cs="仿宋_GB2312"/>
                <w:szCs w:val="21"/>
              </w:rPr>
              <w:t>组织人事处</w:t>
            </w:r>
          </w:p>
        </w:tc>
        <w:tc>
          <w:tcPr>
            <w:tcW w:w="1706" w:type="dxa"/>
            <w:vAlign w:val="center"/>
          </w:tcPr>
          <w:p>
            <w:pPr>
              <w:tabs>
                <w:tab w:val="left" w:pos="417"/>
              </w:tabs>
              <w:spacing w:line="240" w:lineRule="exact"/>
              <w:jc w:val="center"/>
              <w:rPr>
                <w:rFonts w:ascii="仿宋_GB2312" w:hAnsi="黑体" w:eastAsia="仿宋_GB2312" w:cs="仿宋_GB2312"/>
                <w:szCs w:val="21"/>
              </w:rPr>
            </w:pPr>
            <w:r>
              <w:rPr>
                <w:rFonts w:hint="eastAsia" w:ascii="仿宋_GB2312" w:hAnsi="黑体" w:eastAsia="仿宋_GB2312" w:cs="仿宋_GB2312"/>
                <w:szCs w:val="21"/>
              </w:rPr>
              <w:t>各党（总）支部</w:t>
            </w:r>
          </w:p>
        </w:tc>
        <w:tc>
          <w:tcPr>
            <w:tcW w:w="1138" w:type="dxa"/>
            <w:vAlign w:val="center"/>
          </w:tcPr>
          <w:p>
            <w:pPr>
              <w:spacing w:line="300" w:lineRule="exact"/>
              <w:jc w:val="center"/>
              <w:rPr>
                <w:rFonts w:ascii="仿宋_GB2312" w:hAnsi="黑体" w:eastAsia="仿宋_GB2312" w:cs="仿宋_GB2312"/>
                <w:szCs w:val="21"/>
              </w:rPr>
            </w:pPr>
            <w:r>
              <w:rPr>
                <w:rFonts w:hint="eastAsia" w:ascii="仿宋_GB2312" w:hAnsi="黑体" w:eastAsia="仿宋_GB2312" w:cs="仿宋_GB2312"/>
                <w:szCs w:val="21"/>
              </w:rPr>
              <w:t>王军强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962" w:type="dxa"/>
            <w:vMerge w:val="continue"/>
            <w:vAlign w:val="center"/>
          </w:tcPr>
          <w:p>
            <w:pPr>
              <w:spacing w:line="280" w:lineRule="exact"/>
              <w:jc w:val="center"/>
              <w:rPr>
                <w:rFonts w:ascii="仿宋_GB2312" w:hAnsi="黑体" w:eastAsia="仿宋_GB2312" w:cs="仿宋_GB2312"/>
                <w:szCs w:val="21"/>
              </w:rPr>
            </w:pPr>
          </w:p>
        </w:tc>
        <w:tc>
          <w:tcPr>
            <w:tcW w:w="995" w:type="dxa"/>
            <w:vAlign w:val="center"/>
          </w:tcPr>
          <w:p>
            <w:pPr>
              <w:spacing w:line="280" w:lineRule="exact"/>
              <w:jc w:val="center"/>
              <w:rPr>
                <w:rFonts w:ascii="仿宋_GB2312" w:hAnsi="黑体" w:eastAsia="仿宋_GB2312" w:cs="仿宋_GB2312"/>
                <w:szCs w:val="21"/>
              </w:rPr>
            </w:pPr>
            <w:r>
              <w:rPr>
                <w:rFonts w:hint="eastAsia" w:ascii="仿宋_GB2312" w:hAnsi="黑体" w:eastAsia="仿宋_GB2312" w:cs="仿宋_GB2312"/>
                <w:szCs w:val="21"/>
              </w:rPr>
              <w:t>3.筑牢意识形态主阵地。</w:t>
            </w:r>
          </w:p>
        </w:tc>
        <w:tc>
          <w:tcPr>
            <w:tcW w:w="8499" w:type="dxa"/>
            <w:vAlign w:val="center"/>
          </w:tcPr>
          <w:p>
            <w:pPr>
              <w:spacing w:line="300" w:lineRule="exact"/>
              <w:jc w:val="left"/>
              <w:rPr>
                <w:rFonts w:ascii="仿宋_GB2312" w:hAnsi="黑体" w:eastAsia="仿宋_GB2312" w:cs="仿宋_GB2312"/>
                <w:szCs w:val="21"/>
              </w:rPr>
            </w:pPr>
            <w:r>
              <w:rPr>
                <w:rFonts w:hint="eastAsia" w:ascii="仿宋_GB2312" w:hAnsi="黑体" w:eastAsia="仿宋_GB2312" w:cs="仿宋_GB2312"/>
                <w:szCs w:val="21"/>
              </w:rPr>
              <w:t>深入落实《党委（党组）意识形态工作责任制实施办法》，开展拉网扫雷行动，逐级建立责任清单，层层拧紧责任链条。加强意识形态风险意识教育，牢牢把握意识形态主动权。认真学习贯彻《中国共产党统一战线工作条例》，做好党外知识分子工作，坚决抵御和防范校园传教渗透。</w:t>
            </w:r>
          </w:p>
        </w:tc>
        <w:tc>
          <w:tcPr>
            <w:tcW w:w="1315" w:type="dxa"/>
            <w:vAlign w:val="center"/>
          </w:tcPr>
          <w:p>
            <w:pPr>
              <w:spacing w:line="300" w:lineRule="exact"/>
              <w:jc w:val="center"/>
              <w:rPr>
                <w:rFonts w:ascii="仿宋_GB2312" w:hAnsi="黑体" w:eastAsia="仿宋_GB2312" w:cs="仿宋_GB2312"/>
                <w:szCs w:val="21"/>
              </w:rPr>
            </w:pPr>
            <w:r>
              <w:rPr>
                <w:rFonts w:hint="eastAsia" w:ascii="仿宋_GB2312" w:hAnsi="黑体" w:eastAsia="仿宋_GB2312" w:cs="仿宋_GB2312"/>
                <w:szCs w:val="21"/>
              </w:rPr>
              <w:t>宣传（统战）部</w:t>
            </w:r>
          </w:p>
        </w:tc>
        <w:tc>
          <w:tcPr>
            <w:tcW w:w="1706" w:type="dxa"/>
            <w:vAlign w:val="center"/>
          </w:tcPr>
          <w:p>
            <w:pPr>
              <w:tabs>
                <w:tab w:val="left" w:pos="417"/>
              </w:tabs>
              <w:spacing w:line="240" w:lineRule="exact"/>
              <w:jc w:val="center"/>
              <w:rPr>
                <w:rFonts w:ascii="仿宋_GB2312" w:hAnsi="黑体" w:eastAsia="仿宋_GB2312" w:cs="仿宋_GB2312"/>
                <w:szCs w:val="21"/>
              </w:rPr>
            </w:pPr>
            <w:r>
              <w:rPr>
                <w:rFonts w:hint="eastAsia" w:ascii="仿宋_GB2312" w:hAnsi="黑体" w:eastAsia="仿宋_GB2312" w:cs="仿宋_GB2312"/>
                <w:szCs w:val="21"/>
              </w:rPr>
              <w:t>各处室（馆、中心）、系部</w:t>
            </w:r>
          </w:p>
        </w:tc>
        <w:tc>
          <w:tcPr>
            <w:tcW w:w="1138" w:type="dxa"/>
            <w:vAlign w:val="center"/>
          </w:tcPr>
          <w:p>
            <w:pPr>
              <w:spacing w:line="300" w:lineRule="exact"/>
              <w:jc w:val="center"/>
              <w:rPr>
                <w:rFonts w:ascii="仿宋_GB2312" w:hAnsi="黑体" w:eastAsia="仿宋_GB2312" w:cs="仿宋_GB2312"/>
                <w:szCs w:val="21"/>
              </w:rPr>
            </w:pPr>
            <w:r>
              <w:rPr>
                <w:rFonts w:hint="eastAsia" w:ascii="仿宋_GB2312" w:hAnsi="黑体" w:eastAsia="仿宋_GB2312" w:cs="仿宋_GB2312"/>
                <w:szCs w:val="21"/>
              </w:rPr>
              <w:t>陈  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962" w:type="dxa"/>
            <w:vMerge w:val="continue"/>
            <w:vAlign w:val="center"/>
          </w:tcPr>
          <w:p>
            <w:pPr>
              <w:spacing w:line="280" w:lineRule="exact"/>
              <w:jc w:val="center"/>
              <w:rPr>
                <w:rFonts w:ascii="仿宋_GB2312" w:hAnsi="黑体" w:eastAsia="仿宋_GB2312" w:cs="仿宋_GB2312"/>
                <w:szCs w:val="21"/>
              </w:rPr>
            </w:pPr>
          </w:p>
        </w:tc>
        <w:tc>
          <w:tcPr>
            <w:tcW w:w="995" w:type="dxa"/>
            <w:vAlign w:val="center"/>
          </w:tcPr>
          <w:p>
            <w:pPr>
              <w:spacing w:line="280" w:lineRule="exact"/>
              <w:jc w:val="center"/>
              <w:rPr>
                <w:rFonts w:ascii="仿宋_GB2312" w:hAnsi="黑体" w:eastAsia="仿宋_GB2312" w:cs="仿宋_GB2312"/>
                <w:spacing w:val="-6"/>
                <w:szCs w:val="21"/>
              </w:rPr>
            </w:pPr>
            <w:r>
              <w:rPr>
                <w:rFonts w:hint="eastAsia" w:ascii="仿宋_GB2312" w:hAnsi="黑体" w:eastAsia="仿宋_GB2312" w:cs="仿宋_GB2312"/>
                <w:spacing w:val="-6"/>
                <w:szCs w:val="21"/>
              </w:rPr>
              <w:t>4.深入推进全面从严治党。</w:t>
            </w:r>
          </w:p>
        </w:tc>
        <w:tc>
          <w:tcPr>
            <w:tcW w:w="8499" w:type="dxa"/>
            <w:vAlign w:val="center"/>
          </w:tcPr>
          <w:p>
            <w:pPr>
              <w:spacing w:line="300" w:lineRule="exact"/>
              <w:jc w:val="left"/>
              <w:rPr>
                <w:rFonts w:ascii="仿宋_GB2312" w:hAnsi="黑体" w:eastAsia="仿宋_GB2312" w:cs="仿宋_GB2312"/>
                <w:szCs w:val="21"/>
              </w:rPr>
            </w:pPr>
            <w:r>
              <w:rPr>
                <w:rFonts w:hint="eastAsia" w:ascii="仿宋_GB2312" w:hAnsi="黑体" w:eastAsia="仿宋_GB2312" w:cs="仿宋_GB2312"/>
                <w:szCs w:val="21"/>
              </w:rPr>
              <w:t>深入贯彻落实十九届中央纪委五次全会精神，召开学院推进全面从严治党工作会议，推动各级党组织落实好主体责任、主要负责人履行好“第一责任人”职责、班子成员坚持“一岗双责”。扎实推进纪律作风建设，健全廉政风险防控长效机制。深入贯彻中央八项规定精神，驰而不息整治“四风”特别是形式主义、官僚主义，持续开展漠视侵害群众和师生利益的专项整治。强化监督执纪问责，持之以恒正风肃纪，推动全面从严治党向纵深发展。</w:t>
            </w:r>
          </w:p>
        </w:tc>
        <w:tc>
          <w:tcPr>
            <w:tcW w:w="1315" w:type="dxa"/>
            <w:vAlign w:val="center"/>
          </w:tcPr>
          <w:p>
            <w:pPr>
              <w:spacing w:line="300" w:lineRule="exact"/>
              <w:jc w:val="center"/>
              <w:rPr>
                <w:rFonts w:ascii="仿宋_GB2312" w:hAnsi="黑体" w:eastAsia="仿宋_GB2312" w:cs="仿宋_GB2312"/>
                <w:szCs w:val="21"/>
              </w:rPr>
            </w:pPr>
            <w:r>
              <w:rPr>
                <w:rFonts w:hint="eastAsia" w:ascii="仿宋_GB2312" w:hAnsi="黑体" w:eastAsia="仿宋_GB2312" w:cs="仿宋_GB2312"/>
                <w:szCs w:val="21"/>
              </w:rPr>
              <w:t>纪检监察室</w:t>
            </w:r>
          </w:p>
        </w:tc>
        <w:tc>
          <w:tcPr>
            <w:tcW w:w="1706" w:type="dxa"/>
            <w:vAlign w:val="center"/>
          </w:tcPr>
          <w:p>
            <w:pPr>
              <w:spacing w:line="240" w:lineRule="exact"/>
              <w:jc w:val="center"/>
              <w:rPr>
                <w:rFonts w:ascii="仿宋_GB2312" w:hAnsi="黑体" w:eastAsia="仿宋_GB2312" w:cs="仿宋_GB2312"/>
                <w:szCs w:val="21"/>
              </w:rPr>
            </w:pPr>
            <w:r>
              <w:rPr>
                <w:rFonts w:hint="eastAsia" w:ascii="仿宋_GB2312" w:hAnsi="黑体" w:eastAsia="仿宋_GB2312" w:cs="仿宋_GB2312"/>
                <w:szCs w:val="21"/>
              </w:rPr>
              <w:t>各处室（馆、中心）、系部</w:t>
            </w:r>
          </w:p>
        </w:tc>
        <w:tc>
          <w:tcPr>
            <w:tcW w:w="1138" w:type="dxa"/>
            <w:vAlign w:val="center"/>
          </w:tcPr>
          <w:p>
            <w:pPr>
              <w:spacing w:line="300" w:lineRule="exact"/>
              <w:jc w:val="center"/>
              <w:rPr>
                <w:rFonts w:ascii="仿宋_GB2312" w:hAnsi="黑体" w:eastAsia="仿宋_GB2312" w:cs="仿宋_GB2312"/>
                <w:szCs w:val="21"/>
              </w:rPr>
            </w:pPr>
            <w:r>
              <w:rPr>
                <w:rFonts w:hint="eastAsia" w:ascii="仿宋_GB2312" w:hAnsi="黑体" w:eastAsia="仿宋_GB2312" w:cs="仿宋_GB2312"/>
                <w:szCs w:val="21"/>
              </w:rPr>
              <w:t>王树春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962" w:type="dxa"/>
            <w:vMerge w:val="restart"/>
            <w:vAlign w:val="center"/>
          </w:tcPr>
          <w:p>
            <w:pPr>
              <w:spacing w:line="280" w:lineRule="exact"/>
              <w:jc w:val="center"/>
              <w:rPr>
                <w:rFonts w:ascii="仿宋_GB2312" w:hAnsi="仿宋_GB2312" w:eastAsia="仿宋_GB2312" w:cs="仿宋_GB2312"/>
                <w:szCs w:val="21"/>
              </w:rPr>
            </w:pPr>
            <w:r>
              <w:rPr>
                <w:rFonts w:hint="eastAsia" w:ascii="仿宋_GB2312" w:hAnsi="仿宋_GB2312" w:eastAsia="仿宋_GB2312" w:cs="仿宋_GB2312"/>
                <w:szCs w:val="21"/>
              </w:rPr>
              <w:t>二、坚定不移抓细立德树人，精心培育全面发展的高素质人才。</w:t>
            </w:r>
          </w:p>
        </w:tc>
        <w:tc>
          <w:tcPr>
            <w:tcW w:w="995" w:type="dxa"/>
            <w:vMerge w:val="restart"/>
            <w:vAlign w:val="center"/>
          </w:tcPr>
          <w:p>
            <w:pPr>
              <w:spacing w:line="280" w:lineRule="exact"/>
              <w:jc w:val="center"/>
              <w:rPr>
                <w:rFonts w:ascii="仿宋_GB2312" w:hAnsi="仿宋_GB2312" w:eastAsia="仿宋_GB2312" w:cs="仿宋_GB2312"/>
                <w:szCs w:val="21"/>
              </w:rPr>
            </w:pPr>
            <w:r>
              <w:rPr>
                <w:rFonts w:hint="eastAsia" w:ascii="仿宋_GB2312" w:hAnsi="仿宋_GB2312" w:eastAsia="仿宋_GB2312" w:cs="仿宋_GB2312"/>
                <w:szCs w:val="21"/>
              </w:rPr>
              <w:t>5.抓好“三化育人”。</w:t>
            </w:r>
          </w:p>
        </w:tc>
        <w:tc>
          <w:tcPr>
            <w:tcW w:w="8499" w:type="dxa"/>
            <w:vAlign w:val="center"/>
          </w:tcPr>
          <w:p>
            <w:pPr>
              <w:spacing w:line="300" w:lineRule="exact"/>
              <w:jc w:val="left"/>
              <w:rPr>
                <w:rFonts w:ascii="仿宋_GB2312" w:hAnsi="仿宋_GB2312" w:eastAsia="仿宋_GB2312" w:cs="仿宋_GB2312"/>
                <w:szCs w:val="21"/>
              </w:rPr>
            </w:pPr>
            <w:r>
              <w:rPr>
                <w:rFonts w:hint="eastAsia" w:ascii="仿宋_GB2312" w:hAnsi="仿宋_GB2312" w:eastAsia="仿宋_GB2312" w:cs="仿宋_GB2312"/>
                <w:szCs w:val="21"/>
              </w:rPr>
              <w:t>持续拓展明德学院的内涵和外延，将“优秀传统、红色革命、蓝色海洋”三种文化进行优化，打造课程、社团、成果等教育过程的立体生态逻辑闭环。充实丰富“三化”课程体系，探索开展传统技艺传承人教育。加强“三化”校外实践基地建设，注重多元文化合作。积极参与各类文化平台和“三全育人”试点申报工作，着力培植文化精品项目。</w:t>
            </w:r>
          </w:p>
        </w:tc>
        <w:tc>
          <w:tcPr>
            <w:tcW w:w="1315" w:type="dxa"/>
            <w:vAlign w:val="center"/>
          </w:tcPr>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明德文化中心</w:t>
            </w:r>
          </w:p>
        </w:tc>
        <w:tc>
          <w:tcPr>
            <w:tcW w:w="1706" w:type="dxa"/>
            <w:vAlign w:val="center"/>
          </w:tcPr>
          <w:p>
            <w:pPr>
              <w:spacing w:line="240" w:lineRule="exact"/>
              <w:jc w:val="center"/>
              <w:rPr>
                <w:rFonts w:ascii="仿宋_GB2312" w:hAnsi="仿宋_GB2312" w:eastAsia="仿宋_GB2312" w:cs="仿宋_GB2312"/>
                <w:spacing w:val="-20"/>
                <w:szCs w:val="21"/>
              </w:rPr>
            </w:pPr>
            <w:r>
              <w:rPr>
                <w:rFonts w:hint="eastAsia" w:ascii="仿宋_GB2312" w:hAnsi="仿宋_GB2312" w:eastAsia="仿宋_GB2312" w:cs="仿宋_GB2312"/>
                <w:spacing w:val="-20"/>
                <w:szCs w:val="21"/>
              </w:rPr>
              <w:t>各处室（馆、中心）、系部</w:t>
            </w:r>
          </w:p>
        </w:tc>
        <w:tc>
          <w:tcPr>
            <w:tcW w:w="1138" w:type="dxa"/>
            <w:vAlign w:val="center"/>
          </w:tcPr>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梁翠丽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962" w:type="dxa"/>
            <w:vMerge w:val="continue"/>
            <w:vAlign w:val="center"/>
          </w:tcPr>
          <w:p>
            <w:pPr>
              <w:spacing w:line="280" w:lineRule="exact"/>
              <w:jc w:val="center"/>
              <w:rPr>
                <w:rFonts w:ascii="仿宋_GB2312" w:hAnsi="仿宋_GB2312" w:eastAsia="仿宋_GB2312" w:cs="仿宋_GB2312"/>
                <w:szCs w:val="21"/>
              </w:rPr>
            </w:pPr>
          </w:p>
        </w:tc>
        <w:tc>
          <w:tcPr>
            <w:tcW w:w="995" w:type="dxa"/>
            <w:vMerge w:val="continue"/>
            <w:vAlign w:val="center"/>
          </w:tcPr>
          <w:p>
            <w:pPr>
              <w:spacing w:line="280" w:lineRule="exact"/>
              <w:jc w:val="center"/>
              <w:rPr>
                <w:rFonts w:ascii="仿宋_GB2312" w:hAnsi="仿宋_GB2312" w:eastAsia="仿宋_GB2312" w:cs="仿宋_GB2312"/>
                <w:szCs w:val="21"/>
              </w:rPr>
            </w:pPr>
          </w:p>
        </w:tc>
        <w:tc>
          <w:tcPr>
            <w:tcW w:w="8499" w:type="dxa"/>
            <w:vAlign w:val="center"/>
          </w:tcPr>
          <w:p>
            <w:pPr>
              <w:spacing w:line="300" w:lineRule="exact"/>
              <w:jc w:val="left"/>
              <w:rPr>
                <w:rFonts w:ascii="仿宋_GB2312" w:hAnsi="仿宋_GB2312" w:eastAsia="仿宋_GB2312" w:cs="仿宋_GB2312"/>
                <w:szCs w:val="21"/>
              </w:rPr>
            </w:pPr>
            <w:r>
              <w:rPr>
                <w:rFonts w:hint="eastAsia" w:ascii="仿宋_GB2312" w:hAnsi="仿宋_GB2312" w:eastAsia="仿宋_GB2312" w:cs="仿宋_GB2312"/>
                <w:szCs w:val="21"/>
              </w:rPr>
              <w:t>建设永怀广场，打造红色教育新标识。</w:t>
            </w:r>
          </w:p>
        </w:tc>
        <w:tc>
          <w:tcPr>
            <w:tcW w:w="1315" w:type="dxa"/>
            <w:vAlign w:val="center"/>
          </w:tcPr>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宣传部</w:t>
            </w:r>
          </w:p>
        </w:tc>
        <w:tc>
          <w:tcPr>
            <w:tcW w:w="1706" w:type="dxa"/>
            <w:vAlign w:val="center"/>
          </w:tcPr>
          <w:p>
            <w:pPr>
              <w:spacing w:line="240" w:lineRule="exact"/>
              <w:jc w:val="center"/>
              <w:rPr>
                <w:rFonts w:ascii="仿宋_GB2312" w:hAnsi="仿宋_GB2312" w:eastAsia="仿宋_GB2312" w:cs="仿宋_GB2312"/>
                <w:spacing w:val="-20"/>
                <w:szCs w:val="21"/>
              </w:rPr>
            </w:pPr>
          </w:p>
        </w:tc>
        <w:tc>
          <w:tcPr>
            <w:tcW w:w="1138" w:type="dxa"/>
            <w:vAlign w:val="center"/>
          </w:tcPr>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陈  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962" w:type="dxa"/>
            <w:vMerge w:val="continue"/>
            <w:vAlign w:val="center"/>
          </w:tcPr>
          <w:p>
            <w:pPr>
              <w:spacing w:line="280" w:lineRule="exact"/>
              <w:jc w:val="center"/>
              <w:rPr>
                <w:rFonts w:ascii="仿宋_GB2312" w:hAnsi="仿宋_GB2312" w:eastAsia="仿宋_GB2312" w:cs="仿宋_GB2312"/>
                <w:szCs w:val="21"/>
              </w:rPr>
            </w:pPr>
          </w:p>
        </w:tc>
        <w:tc>
          <w:tcPr>
            <w:tcW w:w="995" w:type="dxa"/>
            <w:vMerge w:val="restart"/>
            <w:vAlign w:val="center"/>
          </w:tcPr>
          <w:p>
            <w:pPr>
              <w:spacing w:line="280" w:lineRule="exact"/>
              <w:jc w:val="center"/>
              <w:rPr>
                <w:rFonts w:ascii="仿宋_GB2312" w:hAnsi="仿宋_GB2312" w:eastAsia="仿宋_GB2312" w:cs="仿宋_GB2312"/>
                <w:szCs w:val="21"/>
              </w:rPr>
            </w:pPr>
            <w:r>
              <w:rPr>
                <w:rFonts w:hint="eastAsia" w:ascii="仿宋_GB2312" w:hAnsi="仿宋_GB2312" w:eastAsia="仿宋_GB2312" w:cs="仿宋_GB2312"/>
                <w:szCs w:val="21"/>
              </w:rPr>
              <w:t>6.抓好思想政治教育。</w:t>
            </w:r>
          </w:p>
        </w:tc>
        <w:tc>
          <w:tcPr>
            <w:tcW w:w="8499" w:type="dxa"/>
            <w:vAlign w:val="center"/>
          </w:tcPr>
          <w:p>
            <w:pPr>
              <w:spacing w:line="300" w:lineRule="exact"/>
              <w:jc w:val="left"/>
              <w:rPr>
                <w:rFonts w:ascii="仿宋_GB2312" w:hAnsi="仿宋_GB2312" w:eastAsia="仿宋_GB2312" w:cs="仿宋_GB2312"/>
                <w:szCs w:val="21"/>
              </w:rPr>
            </w:pPr>
            <w:r>
              <w:rPr>
                <w:rFonts w:hint="eastAsia" w:ascii="仿宋_GB2312" w:hAnsi="仿宋_GB2312" w:eastAsia="仿宋_GB2312" w:cs="仿宋_GB2312"/>
                <w:szCs w:val="21"/>
              </w:rPr>
              <w:t>贯彻落实《新时代公民道德建设实施纲要》《新时代爱国主义教育实施纲要》，加强社会主义核心价值观教育，引导学生坚定理想信念，听党话跟党走。</w:t>
            </w:r>
          </w:p>
        </w:tc>
        <w:tc>
          <w:tcPr>
            <w:tcW w:w="1315" w:type="dxa"/>
            <w:vAlign w:val="center"/>
          </w:tcPr>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宣传部</w:t>
            </w:r>
          </w:p>
        </w:tc>
        <w:tc>
          <w:tcPr>
            <w:tcW w:w="1706" w:type="dxa"/>
            <w:vAlign w:val="center"/>
          </w:tcPr>
          <w:p>
            <w:pPr>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学生处、团委、系部</w:t>
            </w:r>
          </w:p>
        </w:tc>
        <w:tc>
          <w:tcPr>
            <w:tcW w:w="1138" w:type="dxa"/>
            <w:vAlign w:val="center"/>
          </w:tcPr>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陈  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962" w:type="dxa"/>
            <w:vMerge w:val="continue"/>
            <w:vAlign w:val="center"/>
          </w:tcPr>
          <w:p>
            <w:pPr>
              <w:spacing w:line="280" w:lineRule="exact"/>
              <w:jc w:val="center"/>
              <w:rPr>
                <w:rFonts w:ascii="仿宋_GB2312" w:hAnsi="仿宋_GB2312" w:eastAsia="仿宋_GB2312" w:cs="仿宋_GB2312"/>
                <w:szCs w:val="21"/>
              </w:rPr>
            </w:pPr>
          </w:p>
        </w:tc>
        <w:tc>
          <w:tcPr>
            <w:tcW w:w="995" w:type="dxa"/>
            <w:vMerge w:val="continue"/>
            <w:vAlign w:val="center"/>
          </w:tcPr>
          <w:p>
            <w:pPr>
              <w:spacing w:line="280" w:lineRule="exact"/>
              <w:jc w:val="center"/>
              <w:rPr>
                <w:rFonts w:ascii="仿宋_GB2312" w:hAnsi="仿宋_GB2312" w:eastAsia="仿宋_GB2312" w:cs="仿宋_GB2312"/>
                <w:szCs w:val="21"/>
              </w:rPr>
            </w:pPr>
          </w:p>
        </w:tc>
        <w:tc>
          <w:tcPr>
            <w:tcW w:w="8499" w:type="dxa"/>
            <w:vAlign w:val="center"/>
          </w:tcPr>
          <w:p>
            <w:pPr>
              <w:spacing w:line="300" w:lineRule="exact"/>
              <w:jc w:val="left"/>
              <w:rPr>
                <w:rFonts w:ascii="仿宋_GB2312" w:hAnsi="仿宋_GB2312" w:eastAsia="仿宋_GB2312" w:cs="仿宋_GB2312"/>
                <w:szCs w:val="21"/>
              </w:rPr>
            </w:pPr>
            <w:r>
              <w:rPr>
                <w:rFonts w:hint="eastAsia" w:ascii="仿宋_GB2312" w:hAnsi="仿宋_GB2312" w:eastAsia="仿宋_GB2312" w:cs="仿宋_GB2312"/>
                <w:szCs w:val="21"/>
              </w:rPr>
              <w:t>扎实开展思政课改革创新“六大行动”，认真落实思政课“双协同、双提升”项目。</w:t>
            </w:r>
          </w:p>
        </w:tc>
        <w:tc>
          <w:tcPr>
            <w:tcW w:w="1315" w:type="dxa"/>
            <w:vAlign w:val="center"/>
          </w:tcPr>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思政基础部</w:t>
            </w:r>
          </w:p>
        </w:tc>
        <w:tc>
          <w:tcPr>
            <w:tcW w:w="1706" w:type="dxa"/>
            <w:vAlign w:val="center"/>
          </w:tcPr>
          <w:p>
            <w:pPr>
              <w:spacing w:line="240" w:lineRule="exact"/>
              <w:jc w:val="center"/>
              <w:rPr>
                <w:rFonts w:ascii="仿宋_GB2312" w:hAnsi="仿宋_GB2312" w:eastAsia="仿宋_GB2312" w:cs="仿宋_GB2312"/>
                <w:szCs w:val="21"/>
              </w:rPr>
            </w:pPr>
          </w:p>
        </w:tc>
        <w:tc>
          <w:tcPr>
            <w:tcW w:w="1138" w:type="dxa"/>
            <w:vAlign w:val="center"/>
          </w:tcPr>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秦道炬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962" w:type="dxa"/>
            <w:vMerge w:val="continue"/>
            <w:vAlign w:val="center"/>
          </w:tcPr>
          <w:p>
            <w:pPr>
              <w:spacing w:line="280" w:lineRule="exact"/>
              <w:jc w:val="center"/>
              <w:rPr>
                <w:rFonts w:ascii="仿宋_GB2312" w:hAnsi="仿宋_GB2312" w:eastAsia="仿宋_GB2312" w:cs="仿宋_GB2312"/>
                <w:szCs w:val="21"/>
              </w:rPr>
            </w:pPr>
          </w:p>
        </w:tc>
        <w:tc>
          <w:tcPr>
            <w:tcW w:w="995" w:type="dxa"/>
            <w:vMerge w:val="continue"/>
            <w:vAlign w:val="center"/>
          </w:tcPr>
          <w:p>
            <w:pPr>
              <w:spacing w:line="280" w:lineRule="exact"/>
              <w:jc w:val="center"/>
              <w:rPr>
                <w:rFonts w:ascii="仿宋_GB2312" w:hAnsi="仿宋_GB2312" w:eastAsia="仿宋_GB2312" w:cs="仿宋_GB2312"/>
                <w:szCs w:val="21"/>
              </w:rPr>
            </w:pPr>
          </w:p>
        </w:tc>
        <w:tc>
          <w:tcPr>
            <w:tcW w:w="8499" w:type="dxa"/>
            <w:vAlign w:val="center"/>
          </w:tcPr>
          <w:p>
            <w:pPr>
              <w:spacing w:line="300" w:lineRule="exact"/>
              <w:jc w:val="left"/>
              <w:rPr>
                <w:rFonts w:ascii="仿宋_GB2312" w:hAnsi="仿宋_GB2312" w:eastAsia="仿宋_GB2312" w:cs="仿宋_GB2312"/>
                <w:szCs w:val="21"/>
              </w:rPr>
            </w:pPr>
            <w:r>
              <w:rPr>
                <w:rFonts w:hint="eastAsia" w:ascii="仿宋_GB2312" w:hAnsi="仿宋_GB2312" w:eastAsia="仿宋_GB2312" w:cs="仿宋_GB2312"/>
                <w:szCs w:val="21"/>
              </w:rPr>
              <w:t>推进思政教育与技术技能培养融合统一，将职业道德、职业规范等要素融入教材和课程体系，使各类课程与思政课程同向同行，形成协同效应。</w:t>
            </w:r>
          </w:p>
        </w:tc>
        <w:tc>
          <w:tcPr>
            <w:tcW w:w="1315" w:type="dxa"/>
            <w:vAlign w:val="center"/>
          </w:tcPr>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宣传部</w:t>
            </w:r>
          </w:p>
        </w:tc>
        <w:tc>
          <w:tcPr>
            <w:tcW w:w="1706" w:type="dxa"/>
            <w:vAlign w:val="center"/>
          </w:tcPr>
          <w:p>
            <w:pPr>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教务处、</w:t>
            </w:r>
          </w:p>
          <w:p>
            <w:pPr>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系部</w:t>
            </w:r>
          </w:p>
        </w:tc>
        <w:tc>
          <w:tcPr>
            <w:tcW w:w="1138" w:type="dxa"/>
            <w:vAlign w:val="center"/>
          </w:tcPr>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陈  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962" w:type="dxa"/>
            <w:vMerge w:val="continue"/>
            <w:vAlign w:val="center"/>
          </w:tcPr>
          <w:p>
            <w:pPr>
              <w:spacing w:line="280" w:lineRule="exact"/>
              <w:jc w:val="center"/>
              <w:rPr>
                <w:rFonts w:ascii="仿宋_GB2312" w:hAnsi="仿宋_GB2312" w:eastAsia="仿宋_GB2312" w:cs="仿宋_GB2312"/>
                <w:szCs w:val="21"/>
              </w:rPr>
            </w:pPr>
          </w:p>
        </w:tc>
        <w:tc>
          <w:tcPr>
            <w:tcW w:w="995" w:type="dxa"/>
            <w:vMerge w:val="continue"/>
            <w:vAlign w:val="center"/>
          </w:tcPr>
          <w:p>
            <w:pPr>
              <w:spacing w:line="280" w:lineRule="exact"/>
              <w:jc w:val="center"/>
              <w:rPr>
                <w:rFonts w:ascii="仿宋_GB2312" w:hAnsi="仿宋_GB2312" w:eastAsia="仿宋_GB2312" w:cs="仿宋_GB2312"/>
                <w:szCs w:val="21"/>
              </w:rPr>
            </w:pPr>
          </w:p>
        </w:tc>
        <w:tc>
          <w:tcPr>
            <w:tcW w:w="8499" w:type="dxa"/>
            <w:vAlign w:val="center"/>
          </w:tcPr>
          <w:p>
            <w:pPr>
              <w:spacing w:line="300" w:lineRule="exact"/>
              <w:jc w:val="left"/>
              <w:rPr>
                <w:rFonts w:ascii="仿宋_GB2312" w:hAnsi="仿宋_GB2312" w:eastAsia="仿宋_GB2312" w:cs="仿宋_GB2312"/>
                <w:szCs w:val="21"/>
              </w:rPr>
            </w:pPr>
            <w:r>
              <w:rPr>
                <w:rFonts w:hint="eastAsia" w:ascii="仿宋_GB2312" w:hAnsi="仿宋_GB2312" w:eastAsia="仿宋_GB2312" w:cs="仿宋_GB2312"/>
                <w:szCs w:val="21"/>
              </w:rPr>
              <w:t>加强思政教师队伍培育和建设，落实相关政策要求，高标准配齐思政课专职教师队伍。</w:t>
            </w:r>
          </w:p>
        </w:tc>
        <w:tc>
          <w:tcPr>
            <w:tcW w:w="1315" w:type="dxa"/>
            <w:vAlign w:val="center"/>
          </w:tcPr>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组织人事处</w:t>
            </w:r>
          </w:p>
        </w:tc>
        <w:tc>
          <w:tcPr>
            <w:tcW w:w="1706" w:type="dxa"/>
            <w:vAlign w:val="center"/>
          </w:tcPr>
          <w:p>
            <w:pPr>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思政基础部</w:t>
            </w:r>
          </w:p>
        </w:tc>
        <w:tc>
          <w:tcPr>
            <w:tcW w:w="1138" w:type="dxa"/>
            <w:vAlign w:val="center"/>
          </w:tcPr>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王军强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962" w:type="dxa"/>
            <w:vMerge w:val="continue"/>
            <w:vAlign w:val="center"/>
          </w:tcPr>
          <w:p>
            <w:pPr>
              <w:spacing w:line="280" w:lineRule="exact"/>
              <w:jc w:val="center"/>
              <w:rPr>
                <w:rFonts w:ascii="仿宋_GB2312" w:hAnsi="仿宋_GB2312" w:eastAsia="仿宋_GB2312" w:cs="仿宋_GB2312"/>
                <w:szCs w:val="21"/>
              </w:rPr>
            </w:pPr>
          </w:p>
        </w:tc>
        <w:tc>
          <w:tcPr>
            <w:tcW w:w="995" w:type="dxa"/>
            <w:vAlign w:val="center"/>
          </w:tcPr>
          <w:p>
            <w:pPr>
              <w:spacing w:line="280" w:lineRule="exact"/>
              <w:jc w:val="center"/>
              <w:rPr>
                <w:rFonts w:ascii="仿宋_GB2312" w:hAnsi="仿宋_GB2312" w:eastAsia="仿宋_GB2312" w:cs="仿宋_GB2312"/>
                <w:szCs w:val="21"/>
              </w:rPr>
            </w:pPr>
            <w:r>
              <w:rPr>
                <w:rFonts w:hint="eastAsia" w:ascii="仿宋_GB2312" w:hAnsi="仿宋_GB2312" w:eastAsia="仿宋_GB2312" w:cs="仿宋_GB2312"/>
                <w:szCs w:val="21"/>
              </w:rPr>
              <w:t>7.抓好文明校园创建。</w:t>
            </w:r>
          </w:p>
        </w:tc>
        <w:tc>
          <w:tcPr>
            <w:tcW w:w="8499" w:type="dxa"/>
            <w:vAlign w:val="center"/>
          </w:tcPr>
          <w:p>
            <w:pPr>
              <w:spacing w:line="300" w:lineRule="exact"/>
              <w:jc w:val="left"/>
              <w:rPr>
                <w:rFonts w:ascii="仿宋_GB2312" w:hAnsi="仿宋_GB2312" w:eastAsia="仿宋_GB2312" w:cs="仿宋_GB2312"/>
                <w:szCs w:val="21"/>
              </w:rPr>
            </w:pPr>
            <w:r>
              <w:rPr>
                <w:rFonts w:hint="eastAsia" w:ascii="仿宋_GB2312" w:hAnsi="仿宋_GB2312" w:eastAsia="仿宋_GB2312" w:cs="仿宋_GB2312"/>
                <w:szCs w:val="21"/>
              </w:rPr>
              <w:t>逐项研究指标体系，促进创建工作常态化、长效化，全力争创省级文明校园。挖掘创建过程中涌现出来的先进事迹和先进典型，</w:t>
            </w:r>
            <w:r>
              <w:rPr>
                <w:rFonts w:hint="eastAsia" w:ascii="仿宋_GB2312" w:hAnsi="仿宋_GB2312" w:eastAsia="仿宋_GB2312" w:cs="仿宋_GB2312"/>
                <w:spacing w:val="-10"/>
                <w:szCs w:val="21"/>
              </w:rPr>
              <w:t>弘扬主旋律，传播正能量，营造良好的育人氛围。</w:t>
            </w:r>
          </w:p>
        </w:tc>
        <w:tc>
          <w:tcPr>
            <w:tcW w:w="1315" w:type="dxa"/>
            <w:vAlign w:val="center"/>
          </w:tcPr>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宣传部</w:t>
            </w:r>
          </w:p>
        </w:tc>
        <w:tc>
          <w:tcPr>
            <w:tcW w:w="1706" w:type="dxa"/>
            <w:vAlign w:val="center"/>
          </w:tcPr>
          <w:p>
            <w:pPr>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各处室（馆、中心）、系部</w:t>
            </w:r>
          </w:p>
        </w:tc>
        <w:tc>
          <w:tcPr>
            <w:tcW w:w="1138" w:type="dxa"/>
            <w:vAlign w:val="center"/>
          </w:tcPr>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陈  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962" w:type="dxa"/>
            <w:vMerge w:val="continue"/>
            <w:vAlign w:val="center"/>
          </w:tcPr>
          <w:p>
            <w:pPr>
              <w:spacing w:line="280" w:lineRule="exact"/>
              <w:jc w:val="center"/>
              <w:rPr>
                <w:rFonts w:ascii="仿宋_GB2312" w:hAnsi="仿宋_GB2312" w:eastAsia="仿宋_GB2312" w:cs="仿宋_GB2312"/>
                <w:szCs w:val="21"/>
              </w:rPr>
            </w:pPr>
          </w:p>
        </w:tc>
        <w:tc>
          <w:tcPr>
            <w:tcW w:w="995" w:type="dxa"/>
            <w:vMerge w:val="restart"/>
            <w:vAlign w:val="center"/>
          </w:tcPr>
          <w:p>
            <w:pPr>
              <w:spacing w:line="280" w:lineRule="exact"/>
              <w:jc w:val="center"/>
              <w:rPr>
                <w:rFonts w:ascii="仿宋_GB2312" w:hAnsi="仿宋_GB2312" w:eastAsia="仿宋_GB2312" w:cs="仿宋_GB2312"/>
                <w:szCs w:val="21"/>
              </w:rPr>
            </w:pPr>
            <w:r>
              <w:rPr>
                <w:rFonts w:hint="eastAsia" w:ascii="仿宋_GB2312" w:hAnsi="仿宋_GB2312" w:eastAsia="仿宋_GB2312" w:cs="仿宋_GB2312"/>
                <w:szCs w:val="21"/>
              </w:rPr>
              <w:t>8.抓好学生管理。</w:t>
            </w:r>
          </w:p>
        </w:tc>
        <w:tc>
          <w:tcPr>
            <w:tcW w:w="8499" w:type="dxa"/>
            <w:vAlign w:val="center"/>
          </w:tcPr>
          <w:p>
            <w:pPr>
              <w:spacing w:line="300" w:lineRule="exact"/>
              <w:jc w:val="left"/>
              <w:rPr>
                <w:rFonts w:ascii="仿宋_GB2312" w:hAnsi="仿宋_GB2312" w:eastAsia="仿宋_GB2312" w:cs="仿宋_GB2312"/>
                <w:szCs w:val="21"/>
              </w:rPr>
            </w:pPr>
            <w:r>
              <w:rPr>
                <w:rFonts w:hint="eastAsia" w:ascii="仿宋_GB2312" w:hAnsi="仿宋_GB2312" w:eastAsia="仿宋_GB2312" w:cs="仿宋_GB2312"/>
                <w:szCs w:val="21"/>
              </w:rPr>
              <w:t>加强文明习惯的常规养成教育，制定操作性强的配套制度和实施办法，实现学生“自我教育、自我管理、自我服务、自我提升”。完善大学工管理平台建设。完善资助育人体系，构建精准帮扶体系。健全大学生心理育人工作机制。</w:t>
            </w:r>
          </w:p>
        </w:tc>
        <w:tc>
          <w:tcPr>
            <w:tcW w:w="1315" w:type="dxa"/>
            <w:vAlign w:val="center"/>
          </w:tcPr>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学生处</w:t>
            </w:r>
          </w:p>
        </w:tc>
        <w:tc>
          <w:tcPr>
            <w:tcW w:w="1706" w:type="dxa"/>
            <w:vAlign w:val="center"/>
          </w:tcPr>
          <w:p>
            <w:pPr>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各系</w:t>
            </w:r>
          </w:p>
        </w:tc>
        <w:tc>
          <w:tcPr>
            <w:tcW w:w="1138" w:type="dxa"/>
            <w:vAlign w:val="center"/>
          </w:tcPr>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陈  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962" w:type="dxa"/>
            <w:vMerge w:val="continue"/>
            <w:vAlign w:val="center"/>
          </w:tcPr>
          <w:p>
            <w:pPr>
              <w:spacing w:line="280" w:lineRule="exact"/>
              <w:jc w:val="center"/>
              <w:rPr>
                <w:rFonts w:ascii="仿宋_GB2312" w:hAnsi="仿宋_GB2312" w:eastAsia="仿宋_GB2312" w:cs="仿宋_GB2312"/>
                <w:szCs w:val="21"/>
              </w:rPr>
            </w:pPr>
          </w:p>
        </w:tc>
        <w:tc>
          <w:tcPr>
            <w:tcW w:w="995" w:type="dxa"/>
            <w:vMerge w:val="continue"/>
            <w:vAlign w:val="center"/>
          </w:tcPr>
          <w:p>
            <w:pPr>
              <w:spacing w:line="280" w:lineRule="exact"/>
              <w:jc w:val="center"/>
              <w:rPr>
                <w:rFonts w:ascii="仿宋_GB2312" w:hAnsi="仿宋_GB2312" w:eastAsia="仿宋_GB2312" w:cs="仿宋_GB2312"/>
                <w:szCs w:val="21"/>
              </w:rPr>
            </w:pPr>
          </w:p>
        </w:tc>
        <w:tc>
          <w:tcPr>
            <w:tcW w:w="8499" w:type="dxa"/>
            <w:vAlign w:val="center"/>
          </w:tcPr>
          <w:p>
            <w:pPr>
              <w:spacing w:line="300" w:lineRule="exact"/>
              <w:jc w:val="left"/>
              <w:rPr>
                <w:rFonts w:ascii="仿宋_GB2312" w:hAnsi="仿宋_GB2312" w:eastAsia="仿宋_GB2312" w:cs="仿宋_GB2312"/>
                <w:szCs w:val="21"/>
              </w:rPr>
            </w:pPr>
            <w:r>
              <w:rPr>
                <w:rFonts w:hint="eastAsia" w:ascii="仿宋_GB2312" w:hAnsi="仿宋_GB2312" w:eastAsia="仿宋_GB2312" w:cs="仿宋_GB2312"/>
                <w:szCs w:val="21"/>
              </w:rPr>
              <w:t>强化专职辅导员队伍建设，全面提升辅导员队伍专业化职业化水平。</w:t>
            </w:r>
          </w:p>
        </w:tc>
        <w:tc>
          <w:tcPr>
            <w:tcW w:w="1315" w:type="dxa"/>
            <w:vAlign w:val="center"/>
          </w:tcPr>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学生处</w:t>
            </w:r>
          </w:p>
        </w:tc>
        <w:tc>
          <w:tcPr>
            <w:tcW w:w="1706" w:type="dxa"/>
            <w:vAlign w:val="center"/>
          </w:tcPr>
          <w:p>
            <w:pPr>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组织人事处、</w:t>
            </w:r>
          </w:p>
          <w:p>
            <w:pPr>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各系</w:t>
            </w:r>
          </w:p>
        </w:tc>
        <w:tc>
          <w:tcPr>
            <w:tcW w:w="1138" w:type="dxa"/>
            <w:vAlign w:val="center"/>
          </w:tcPr>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陈  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962" w:type="dxa"/>
            <w:vMerge w:val="continue"/>
            <w:vAlign w:val="center"/>
          </w:tcPr>
          <w:p>
            <w:pPr>
              <w:spacing w:line="280" w:lineRule="exact"/>
              <w:jc w:val="center"/>
              <w:rPr>
                <w:rFonts w:ascii="仿宋_GB2312" w:hAnsi="仿宋_GB2312" w:eastAsia="仿宋_GB2312" w:cs="仿宋_GB2312"/>
                <w:szCs w:val="21"/>
              </w:rPr>
            </w:pPr>
          </w:p>
        </w:tc>
        <w:tc>
          <w:tcPr>
            <w:tcW w:w="995" w:type="dxa"/>
            <w:vMerge w:val="restart"/>
            <w:vAlign w:val="center"/>
          </w:tcPr>
          <w:p>
            <w:pPr>
              <w:spacing w:line="280" w:lineRule="exact"/>
              <w:jc w:val="center"/>
              <w:rPr>
                <w:rFonts w:ascii="仿宋_GB2312" w:hAnsi="仿宋_GB2312" w:eastAsia="仿宋_GB2312" w:cs="仿宋_GB2312"/>
                <w:szCs w:val="21"/>
              </w:rPr>
            </w:pPr>
            <w:r>
              <w:rPr>
                <w:rFonts w:hint="eastAsia" w:ascii="仿宋_GB2312" w:hAnsi="仿宋_GB2312" w:eastAsia="仿宋_GB2312" w:cs="仿宋_GB2312"/>
                <w:szCs w:val="21"/>
              </w:rPr>
              <w:t>9.抓好体美劳教育。</w:t>
            </w:r>
          </w:p>
        </w:tc>
        <w:tc>
          <w:tcPr>
            <w:tcW w:w="8499" w:type="dxa"/>
            <w:vAlign w:val="center"/>
          </w:tcPr>
          <w:p>
            <w:pPr>
              <w:spacing w:line="300" w:lineRule="exact"/>
              <w:jc w:val="left"/>
              <w:rPr>
                <w:rFonts w:ascii="仿宋_GB2312" w:hAnsi="仿宋_GB2312" w:eastAsia="仿宋_GB2312" w:cs="仿宋_GB2312"/>
                <w:szCs w:val="21"/>
              </w:rPr>
            </w:pPr>
            <w:r>
              <w:rPr>
                <w:rFonts w:hint="eastAsia" w:ascii="仿宋_GB2312" w:hAnsi="仿宋_GB2312" w:eastAsia="仿宋_GB2312" w:cs="仿宋_GB2312"/>
                <w:szCs w:val="21"/>
              </w:rPr>
              <w:t>完善“健康知识+基本运动技能+专项运动技能”的体育教学模式，持续做好学生体质健康测试，开展好阳光体育运动。</w:t>
            </w:r>
          </w:p>
        </w:tc>
        <w:tc>
          <w:tcPr>
            <w:tcW w:w="1315" w:type="dxa"/>
            <w:vAlign w:val="center"/>
          </w:tcPr>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思政基础部</w:t>
            </w:r>
          </w:p>
        </w:tc>
        <w:tc>
          <w:tcPr>
            <w:tcW w:w="1706" w:type="dxa"/>
            <w:vAlign w:val="center"/>
          </w:tcPr>
          <w:p>
            <w:pPr>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团委、各系</w:t>
            </w:r>
          </w:p>
        </w:tc>
        <w:tc>
          <w:tcPr>
            <w:tcW w:w="1138" w:type="dxa"/>
            <w:vAlign w:val="center"/>
          </w:tcPr>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陈  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962" w:type="dxa"/>
            <w:vMerge w:val="continue"/>
            <w:vAlign w:val="center"/>
          </w:tcPr>
          <w:p>
            <w:pPr>
              <w:spacing w:line="280" w:lineRule="exact"/>
              <w:jc w:val="center"/>
              <w:rPr>
                <w:rFonts w:ascii="仿宋_GB2312" w:hAnsi="仿宋_GB2312" w:eastAsia="仿宋_GB2312" w:cs="仿宋_GB2312"/>
                <w:szCs w:val="21"/>
              </w:rPr>
            </w:pPr>
          </w:p>
        </w:tc>
        <w:tc>
          <w:tcPr>
            <w:tcW w:w="995" w:type="dxa"/>
            <w:vMerge w:val="continue"/>
            <w:vAlign w:val="center"/>
          </w:tcPr>
          <w:p>
            <w:pPr>
              <w:spacing w:line="280" w:lineRule="exact"/>
              <w:jc w:val="center"/>
              <w:rPr>
                <w:rFonts w:ascii="仿宋_GB2312" w:hAnsi="仿宋_GB2312" w:eastAsia="仿宋_GB2312" w:cs="仿宋_GB2312"/>
                <w:szCs w:val="21"/>
              </w:rPr>
            </w:pPr>
          </w:p>
        </w:tc>
        <w:tc>
          <w:tcPr>
            <w:tcW w:w="8499" w:type="dxa"/>
            <w:vAlign w:val="center"/>
          </w:tcPr>
          <w:p>
            <w:pPr>
              <w:spacing w:line="300" w:lineRule="exact"/>
              <w:jc w:val="left"/>
              <w:rPr>
                <w:rFonts w:ascii="仿宋_GB2312" w:hAnsi="仿宋_GB2312" w:eastAsia="仿宋_GB2312" w:cs="仿宋_GB2312"/>
                <w:spacing w:val="-10"/>
                <w:szCs w:val="21"/>
              </w:rPr>
            </w:pPr>
            <w:r>
              <w:rPr>
                <w:rFonts w:hint="eastAsia" w:ascii="仿宋_GB2312" w:hAnsi="仿宋_GB2312" w:eastAsia="仿宋_GB2312" w:cs="仿宋_GB2312"/>
                <w:spacing w:val="-10"/>
                <w:szCs w:val="21"/>
              </w:rPr>
              <w:t>实施美育浸润行动，通过第二课堂、社团文化活动等，突出学生审美情趣和人文素养培养。</w:t>
            </w:r>
          </w:p>
        </w:tc>
        <w:tc>
          <w:tcPr>
            <w:tcW w:w="1315" w:type="dxa"/>
            <w:vAlign w:val="center"/>
          </w:tcPr>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团委</w:t>
            </w:r>
          </w:p>
        </w:tc>
        <w:tc>
          <w:tcPr>
            <w:tcW w:w="1706" w:type="dxa"/>
            <w:vAlign w:val="center"/>
          </w:tcPr>
          <w:p>
            <w:pPr>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各系</w:t>
            </w:r>
          </w:p>
        </w:tc>
        <w:tc>
          <w:tcPr>
            <w:tcW w:w="1138" w:type="dxa"/>
            <w:vAlign w:val="center"/>
          </w:tcPr>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陈  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962" w:type="dxa"/>
            <w:vMerge w:val="continue"/>
            <w:vAlign w:val="center"/>
          </w:tcPr>
          <w:p>
            <w:pPr>
              <w:spacing w:line="280" w:lineRule="exact"/>
              <w:jc w:val="center"/>
              <w:rPr>
                <w:rFonts w:ascii="仿宋_GB2312" w:hAnsi="仿宋_GB2312" w:eastAsia="仿宋_GB2312" w:cs="仿宋_GB2312"/>
                <w:szCs w:val="21"/>
              </w:rPr>
            </w:pPr>
          </w:p>
        </w:tc>
        <w:tc>
          <w:tcPr>
            <w:tcW w:w="995" w:type="dxa"/>
            <w:vMerge w:val="continue"/>
            <w:vAlign w:val="center"/>
          </w:tcPr>
          <w:p>
            <w:pPr>
              <w:spacing w:line="280" w:lineRule="exact"/>
              <w:jc w:val="center"/>
              <w:rPr>
                <w:rFonts w:ascii="仿宋_GB2312" w:hAnsi="仿宋_GB2312" w:eastAsia="仿宋_GB2312" w:cs="仿宋_GB2312"/>
                <w:szCs w:val="21"/>
              </w:rPr>
            </w:pPr>
          </w:p>
        </w:tc>
        <w:tc>
          <w:tcPr>
            <w:tcW w:w="8499" w:type="dxa"/>
            <w:vAlign w:val="center"/>
          </w:tcPr>
          <w:p>
            <w:pPr>
              <w:spacing w:line="300" w:lineRule="exact"/>
              <w:jc w:val="left"/>
              <w:rPr>
                <w:rFonts w:ascii="仿宋_GB2312" w:hAnsi="仿宋_GB2312" w:eastAsia="仿宋_GB2312" w:cs="仿宋_GB2312"/>
                <w:spacing w:val="-10"/>
                <w:szCs w:val="21"/>
              </w:rPr>
            </w:pPr>
            <w:r>
              <w:rPr>
                <w:rFonts w:hint="eastAsia" w:ascii="仿宋_GB2312" w:hAnsi="仿宋_GB2312" w:eastAsia="仿宋_GB2312" w:cs="仿宋_GB2312"/>
                <w:spacing w:val="-10"/>
                <w:szCs w:val="21"/>
              </w:rPr>
              <w:t>加强耕读教育，将劳动教育纳入人才培养全过程，开展好勤工俭学、社会实践、志愿服务等活动。</w:t>
            </w:r>
          </w:p>
        </w:tc>
        <w:tc>
          <w:tcPr>
            <w:tcW w:w="1315" w:type="dxa"/>
            <w:vAlign w:val="center"/>
          </w:tcPr>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教务处</w:t>
            </w:r>
          </w:p>
        </w:tc>
        <w:tc>
          <w:tcPr>
            <w:tcW w:w="1706" w:type="dxa"/>
            <w:vAlign w:val="center"/>
          </w:tcPr>
          <w:p>
            <w:pPr>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团委、各系</w:t>
            </w:r>
          </w:p>
        </w:tc>
        <w:tc>
          <w:tcPr>
            <w:tcW w:w="1138" w:type="dxa"/>
            <w:vAlign w:val="center"/>
          </w:tcPr>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于春晓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62" w:type="dxa"/>
            <w:vMerge w:val="restart"/>
            <w:vAlign w:val="center"/>
          </w:tcPr>
          <w:p>
            <w:pPr>
              <w:spacing w:line="280" w:lineRule="exact"/>
              <w:jc w:val="center"/>
              <w:rPr>
                <w:rFonts w:ascii="仿宋_GB2312" w:hAnsi="仿宋_GB2312" w:eastAsia="仿宋_GB2312" w:cs="仿宋_GB2312"/>
                <w:szCs w:val="21"/>
              </w:rPr>
            </w:pPr>
            <w:r>
              <w:rPr>
                <w:rFonts w:hint="eastAsia" w:ascii="仿宋_GB2312" w:hAnsi="仿宋_GB2312" w:eastAsia="仿宋_GB2312" w:cs="仿宋_GB2312"/>
                <w:szCs w:val="21"/>
              </w:rPr>
              <w:t>三、坚定不移抓好人才队伍，着力打造高水平“双师”队伍。</w:t>
            </w:r>
          </w:p>
        </w:tc>
        <w:tc>
          <w:tcPr>
            <w:tcW w:w="995" w:type="dxa"/>
            <w:vAlign w:val="center"/>
          </w:tcPr>
          <w:p>
            <w:pPr>
              <w:spacing w:line="280" w:lineRule="exact"/>
              <w:jc w:val="center"/>
              <w:rPr>
                <w:rFonts w:ascii="仿宋_GB2312" w:hAnsi="仿宋_GB2312" w:eastAsia="仿宋_GB2312" w:cs="仿宋_GB2312"/>
                <w:szCs w:val="21"/>
              </w:rPr>
            </w:pPr>
            <w:r>
              <w:rPr>
                <w:rFonts w:hint="eastAsia" w:ascii="仿宋_GB2312" w:hAnsi="仿宋_GB2312" w:eastAsia="仿宋_GB2312" w:cs="仿宋_GB2312"/>
                <w:szCs w:val="21"/>
              </w:rPr>
              <w:t>10.加大人才引培力度。</w:t>
            </w:r>
          </w:p>
        </w:tc>
        <w:tc>
          <w:tcPr>
            <w:tcW w:w="8499" w:type="dxa"/>
            <w:vAlign w:val="center"/>
          </w:tcPr>
          <w:p>
            <w:pPr>
              <w:spacing w:line="280" w:lineRule="exact"/>
              <w:jc w:val="left"/>
              <w:rPr>
                <w:rFonts w:ascii="仿宋_GB2312" w:hAnsi="仿宋_GB2312" w:eastAsia="仿宋_GB2312" w:cs="仿宋_GB2312"/>
                <w:szCs w:val="21"/>
              </w:rPr>
            </w:pPr>
            <w:r>
              <w:rPr>
                <w:rFonts w:hint="eastAsia" w:ascii="仿宋_GB2312" w:hAnsi="仿宋_GB2312" w:eastAsia="仿宋_GB2312" w:cs="仿宋_GB2312"/>
                <w:szCs w:val="21"/>
              </w:rPr>
              <w:t>充分落实用人自主权，重点招聘具有3年以上企业工作经历和相关专业技术资格或职业资格的业界优秀人才担任专任教师，优先保障教学科研需求。加强“智库”“人才库”建设，争取省级重大研究课题，产出一批引领全省乃至全国职教改革的原创性研究成果。积极参与全省职业教育青年专家库建设。</w:t>
            </w:r>
          </w:p>
        </w:tc>
        <w:tc>
          <w:tcPr>
            <w:tcW w:w="1315" w:type="dxa"/>
            <w:vAlign w:val="center"/>
          </w:tcPr>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组织人事处</w:t>
            </w:r>
          </w:p>
        </w:tc>
        <w:tc>
          <w:tcPr>
            <w:tcW w:w="1706" w:type="dxa"/>
            <w:vAlign w:val="center"/>
          </w:tcPr>
          <w:p>
            <w:pPr>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各处室（馆、中心）、系部</w:t>
            </w:r>
          </w:p>
        </w:tc>
        <w:tc>
          <w:tcPr>
            <w:tcW w:w="1138" w:type="dxa"/>
            <w:vAlign w:val="center"/>
          </w:tcPr>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王军强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962" w:type="dxa"/>
            <w:vMerge w:val="continue"/>
            <w:vAlign w:val="center"/>
          </w:tcPr>
          <w:p>
            <w:pPr>
              <w:spacing w:line="280" w:lineRule="exact"/>
              <w:jc w:val="center"/>
              <w:rPr>
                <w:rFonts w:ascii="仿宋_GB2312" w:hAnsi="仿宋_GB2312" w:eastAsia="仿宋_GB2312" w:cs="仿宋_GB2312"/>
                <w:szCs w:val="21"/>
              </w:rPr>
            </w:pPr>
          </w:p>
        </w:tc>
        <w:tc>
          <w:tcPr>
            <w:tcW w:w="995" w:type="dxa"/>
            <w:vMerge w:val="restart"/>
            <w:vAlign w:val="center"/>
          </w:tcPr>
          <w:p>
            <w:pPr>
              <w:spacing w:line="280" w:lineRule="exact"/>
              <w:jc w:val="center"/>
              <w:rPr>
                <w:rFonts w:ascii="仿宋_GB2312" w:hAnsi="仿宋_GB2312" w:eastAsia="仿宋_GB2312" w:cs="仿宋_GB2312"/>
                <w:szCs w:val="21"/>
              </w:rPr>
            </w:pPr>
            <w:r>
              <w:rPr>
                <w:rFonts w:hint="eastAsia" w:ascii="仿宋_GB2312" w:hAnsi="仿宋_GB2312" w:eastAsia="仿宋_GB2312" w:cs="仿宋_GB2312"/>
                <w:szCs w:val="21"/>
              </w:rPr>
              <w:t>11.加强师德师风建设。</w:t>
            </w:r>
          </w:p>
        </w:tc>
        <w:tc>
          <w:tcPr>
            <w:tcW w:w="8499" w:type="dxa"/>
            <w:vAlign w:val="center"/>
          </w:tcPr>
          <w:p>
            <w:pPr>
              <w:spacing w:line="280" w:lineRule="exact"/>
              <w:jc w:val="left"/>
              <w:rPr>
                <w:rFonts w:ascii="仿宋_GB2312" w:hAnsi="仿宋_GB2312" w:eastAsia="仿宋_GB2312" w:cs="仿宋_GB2312"/>
                <w:szCs w:val="21"/>
              </w:rPr>
            </w:pPr>
            <w:r>
              <w:rPr>
                <w:rFonts w:hint="eastAsia" w:ascii="仿宋_GB2312" w:hAnsi="仿宋_GB2312" w:eastAsia="仿宋_GB2312" w:cs="仿宋_GB2312"/>
                <w:szCs w:val="21"/>
              </w:rPr>
              <w:t>全面落实《新时代高校教师职业行为十项准则》，完善加强师德师风建设实施方案和师德考核评价办法。</w:t>
            </w:r>
          </w:p>
        </w:tc>
        <w:tc>
          <w:tcPr>
            <w:tcW w:w="1315" w:type="dxa"/>
            <w:vAlign w:val="center"/>
          </w:tcPr>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组织人事处</w:t>
            </w:r>
          </w:p>
        </w:tc>
        <w:tc>
          <w:tcPr>
            <w:tcW w:w="1706" w:type="dxa"/>
            <w:vAlign w:val="center"/>
          </w:tcPr>
          <w:p>
            <w:pPr>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质控办</w:t>
            </w:r>
          </w:p>
        </w:tc>
        <w:tc>
          <w:tcPr>
            <w:tcW w:w="1138" w:type="dxa"/>
            <w:vAlign w:val="center"/>
          </w:tcPr>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王军强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962" w:type="dxa"/>
            <w:vMerge w:val="continue"/>
            <w:vAlign w:val="center"/>
          </w:tcPr>
          <w:p>
            <w:pPr>
              <w:spacing w:line="280" w:lineRule="exact"/>
              <w:jc w:val="center"/>
              <w:rPr>
                <w:rFonts w:ascii="仿宋_GB2312" w:hAnsi="仿宋_GB2312" w:eastAsia="仿宋_GB2312" w:cs="仿宋_GB2312"/>
                <w:szCs w:val="21"/>
              </w:rPr>
            </w:pPr>
          </w:p>
        </w:tc>
        <w:tc>
          <w:tcPr>
            <w:tcW w:w="995" w:type="dxa"/>
            <w:vMerge w:val="continue"/>
            <w:vAlign w:val="center"/>
          </w:tcPr>
          <w:p>
            <w:pPr>
              <w:spacing w:line="280" w:lineRule="exact"/>
              <w:jc w:val="center"/>
              <w:rPr>
                <w:rFonts w:ascii="仿宋_GB2312" w:hAnsi="仿宋_GB2312" w:eastAsia="仿宋_GB2312" w:cs="仿宋_GB2312"/>
                <w:szCs w:val="21"/>
              </w:rPr>
            </w:pPr>
          </w:p>
        </w:tc>
        <w:tc>
          <w:tcPr>
            <w:tcW w:w="8499" w:type="dxa"/>
            <w:vAlign w:val="center"/>
          </w:tcPr>
          <w:p>
            <w:pPr>
              <w:spacing w:line="280" w:lineRule="exact"/>
              <w:jc w:val="left"/>
              <w:rPr>
                <w:rFonts w:ascii="仿宋_GB2312" w:hAnsi="仿宋_GB2312" w:eastAsia="仿宋_GB2312" w:cs="仿宋_GB2312"/>
                <w:szCs w:val="21"/>
              </w:rPr>
            </w:pPr>
            <w:r>
              <w:rPr>
                <w:rFonts w:hint="eastAsia" w:ascii="仿宋_GB2312" w:hAnsi="仿宋_GB2312" w:eastAsia="仿宋_GB2312" w:cs="仿宋_GB2312"/>
                <w:szCs w:val="21"/>
              </w:rPr>
              <w:t>注重师德考核结果运用，将师德师风作为教师招聘引进、职称评聘、评优奖励、项目申报等的首要要求和第一标准，严格执行师德“一票否决”。</w:t>
            </w:r>
          </w:p>
        </w:tc>
        <w:tc>
          <w:tcPr>
            <w:tcW w:w="1315" w:type="dxa"/>
            <w:vAlign w:val="center"/>
          </w:tcPr>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组织人事处</w:t>
            </w:r>
          </w:p>
        </w:tc>
        <w:tc>
          <w:tcPr>
            <w:tcW w:w="1706" w:type="dxa"/>
            <w:vAlign w:val="center"/>
          </w:tcPr>
          <w:p>
            <w:pPr>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各处室（馆、中心）、系部</w:t>
            </w:r>
          </w:p>
        </w:tc>
        <w:tc>
          <w:tcPr>
            <w:tcW w:w="1138" w:type="dxa"/>
            <w:vAlign w:val="center"/>
          </w:tcPr>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王军强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962" w:type="dxa"/>
            <w:vMerge w:val="continue"/>
            <w:vAlign w:val="center"/>
          </w:tcPr>
          <w:p>
            <w:pPr>
              <w:spacing w:line="280" w:lineRule="exact"/>
              <w:jc w:val="center"/>
              <w:rPr>
                <w:rFonts w:ascii="仿宋_GB2312" w:hAnsi="仿宋_GB2312" w:eastAsia="仿宋_GB2312" w:cs="仿宋_GB2312"/>
                <w:szCs w:val="21"/>
              </w:rPr>
            </w:pPr>
          </w:p>
        </w:tc>
        <w:tc>
          <w:tcPr>
            <w:tcW w:w="995" w:type="dxa"/>
            <w:vMerge w:val="continue"/>
            <w:vAlign w:val="center"/>
          </w:tcPr>
          <w:p>
            <w:pPr>
              <w:spacing w:line="280" w:lineRule="exact"/>
              <w:jc w:val="center"/>
              <w:rPr>
                <w:rFonts w:ascii="仿宋_GB2312" w:hAnsi="仿宋_GB2312" w:eastAsia="仿宋_GB2312" w:cs="仿宋_GB2312"/>
                <w:szCs w:val="21"/>
              </w:rPr>
            </w:pPr>
          </w:p>
        </w:tc>
        <w:tc>
          <w:tcPr>
            <w:tcW w:w="8499" w:type="dxa"/>
            <w:vAlign w:val="center"/>
          </w:tcPr>
          <w:p>
            <w:pPr>
              <w:spacing w:line="280" w:lineRule="exact"/>
              <w:jc w:val="left"/>
              <w:rPr>
                <w:rFonts w:ascii="仿宋_GB2312" w:hAnsi="仿宋_GB2312" w:eastAsia="仿宋_GB2312" w:cs="仿宋_GB2312"/>
                <w:szCs w:val="21"/>
              </w:rPr>
            </w:pPr>
            <w:r>
              <w:rPr>
                <w:rFonts w:hint="eastAsia" w:ascii="仿宋_GB2312" w:hAnsi="仿宋_GB2312" w:eastAsia="仿宋_GB2312" w:cs="仿宋_GB2312"/>
                <w:szCs w:val="21"/>
              </w:rPr>
              <w:t>加大教师表彰力度，健全教师荣誉制度。</w:t>
            </w:r>
          </w:p>
        </w:tc>
        <w:tc>
          <w:tcPr>
            <w:tcW w:w="1315" w:type="dxa"/>
            <w:vAlign w:val="center"/>
          </w:tcPr>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组织人事处</w:t>
            </w:r>
          </w:p>
        </w:tc>
        <w:tc>
          <w:tcPr>
            <w:tcW w:w="1706" w:type="dxa"/>
            <w:vAlign w:val="center"/>
          </w:tcPr>
          <w:p>
            <w:pPr>
              <w:spacing w:line="240" w:lineRule="exact"/>
              <w:jc w:val="center"/>
              <w:rPr>
                <w:rFonts w:ascii="仿宋_GB2312" w:hAnsi="仿宋_GB2312" w:eastAsia="仿宋_GB2312" w:cs="仿宋_GB2312"/>
                <w:szCs w:val="21"/>
              </w:rPr>
            </w:pPr>
          </w:p>
        </w:tc>
        <w:tc>
          <w:tcPr>
            <w:tcW w:w="1138" w:type="dxa"/>
            <w:vAlign w:val="center"/>
          </w:tcPr>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王军强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962" w:type="dxa"/>
            <w:vMerge w:val="continue"/>
            <w:vAlign w:val="center"/>
          </w:tcPr>
          <w:p>
            <w:pPr>
              <w:spacing w:line="280" w:lineRule="exact"/>
              <w:jc w:val="center"/>
              <w:rPr>
                <w:rFonts w:ascii="仿宋_GB2312" w:hAnsi="仿宋_GB2312" w:eastAsia="仿宋_GB2312" w:cs="仿宋_GB2312"/>
                <w:szCs w:val="21"/>
              </w:rPr>
            </w:pPr>
          </w:p>
        </w:tc>
        <w:tc>
          <w:tcPr>
            <w:tcW w:w="995" w:type="dxa"/>
            <w:vMerge w:val="restart"/>
            <w:vAlign w:val="center"/>
          </w:tcPr>
          <w:p>
            <w:pPr>
              <w:spacing w:line="280" w:lineRule="exact"/>
              <w:jc w:val="center"/>
              <w:rPr>
                <w:rFonts w:ascii="仿宋_GB2312" w:hAnsi="仿宋_GB2312" w:eastAsia="仿宋_GB2312" w:cs="仿宋_GB2312"/>
                <w:szCs w:val="21"/>
              </w:rPr>
            </w:pPr>
            <w:r>
              <w:rPr>
                <w:rFonts w:hint="eastAsia" w:ascii="仿宋_GB2312" w:hAnsi="仿宋_GB2312" w:eastAsia="仿宋_GB2312" w:cs="仿宋_GB2312"/>
                <w:szCs w:val="21"/>
              </w:rPr>
              <w:t>12.提升专业素质能力。</w:t>
            </w:r>
          </w:p>
        </w:tc>
        <w:tc>
          <w:tcPr>
            <w:tcW w:w="8499" w:type="dxa"/>
            <w:vAlign w:val="center"/>
          </w:tcPr>
          <w:p>
            <w:pPr>
              <w:spacing w:line="300" w:lineRule="exact"/>
              <w:jc w:val="left"/>
              <w:rPr>
                <w:rFonts w:ascii="仿宋_GB2312" w:hAnsi="仿宋_GB2312" w:eastAsia="仿宋_GB2312" w:cs="仿宋_GB2312"/>
                <w:szCs w:val="21"/>
              </w:rPr>
            </w:pPr>
            <w:r>
              <w:rPr>
                <w:rFonts w:hint="eastAsia" w:ascii="仿宋_GB2312" w:hAnsi="仿宋_GB2312" w:eastAsia="仿宋_GB2312" w:cs="仿宋_GB2312"/>
                <w:szCs w:val="21"/>
              </w:rPr>
              <w:t>制定教师专业标准，健全完善教师发展体系制度。聚焦1+X证书制度开展教师全员培训。</w:t>
            </w:r>
          </w:p>
        </w:tc>
        <w:tc>
          <w:tcPr>
            <w:tcW w:w="1315" w:type="dxa"/>
            <w:vAlign w:val="center"/>
          </w:tcPr>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教务处</w:t>
            </w:r>
          </w:p>
        </w:tc>
        <w:tc>
          <w:tcPr>
            <w:tcW w:w="1706" w:type="dxa"/>
            <w:vAlign w:val="center"/>
          </w:tcPr>
          <w:p>
            <w:pPr>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各处室（馆、中心）、系部</w:t>
            </w:r>
          </w:p>
        </w:tc>
        <w:tc>
          <w:tcPr>
            <w:tcW w:w="1138" w:type="dxa"/>
            <w:vAlign w:val="center"/>
          </w:tcPr>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于春晓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962" w:type="dxa"/>
            <w:vMerge w:val="continue"/>
            <w:vAlign w:val="center"/>
          </w:tcPr>
          <w:p>
            <w:pPr>
              <w:spacing w:line="280" w:lineRule="exact"/>
              <w:jc w:val="center"/>
              <w:rPr>
                <w:rFonts w:ascii="仿宋_GB2312" w:hAnsi="仿宋_GB2312" w:eastAsia="仿宋_GB2312" w:cs="仿宋_GB2312"/>
                <w:szCs w:val="21"/>
              </w:rPr>
            </w:pPr>
          </w:p>
        </w:tc>
        <w:tc>
          <w:tcPr>
            <w:tcW w:w="995" w:type="dxa"/>
            <w:vMerge w:val="continue"/>
            <w:vAlign w:val="center"/>
          </w:tcPr>
          <w:p>
            <w:pPr>
              <w:spacing w:line="280" w:lineRule="exact"/>
              <w:jc w:val="center"/>
              <w:rPr>
                <w:rFonts w:ascii="仿宋_GB2312" w:hAnsi="仿宋_GB2312" w:eastAsia="仿宋_GB2312" w:cs="仿宋_GB2312"/>
                <w:szCs w:val="21"/>
              </w:rPr>
            </w:pPr>
          </w:p>
        </w:tc>
        <w:tc>
          <w:tcPr>
            <w:tcW w:w="8499" w:type="dxa"/>
            <w:vAlign w:val="center"/>
          </w:tcPr>
          <w:p>
            <w:pPr>
              <w:spacing w:line="300" w:lineRule="exact"/>
              <w:jc w:val="left"/>
              <w:rPr>
                <w:rFonts w:ascii="仿宋_GB2312" w:hAnsi="仿宋_GB2312" w:eastAsia="仿宋_GB2312" w:cs="仿宋_GB2312"/>
                <w:szCs w:val="21"/>
              </w:rPr>
            </w:pPr>
            <w:r>
              <w:rPr>
                <w:rFonts w:hint="eastAsia" w:ascii="仿宋_GB2312" w:hAnsi="仿宋_GB2312" w:eastAsia="仿宋_GB2312" w:cs="仿宋_GB2312"/>
                <w:szCs w:val="21"/>
              </w:rPr>
              <w:t>鼓励年轻教师积极提升学历、学位。</w:t>
            </w:r>
          </w:p>
        </w:tc>
        <w:tc>
          <w:tcPr>
            <w:tcW w:w="1315" w:type="dxa"/>
            <w:vAlign w:val="center"/>
          </w:tcPr>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组织人事处</w:t>
            </w:r>
          </w:p>
        </w:tc>
        <w:tc>
          <w:tcPr>
            <w:tcW w:w="1706" w:type="dxa"/>
            <w:vAlign w:val="center"/>
          </w:tcPr>
          <w:p>
            <w:pPr>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各处室（馆、中心）、系部</w:t>
            </w:r>
          </w:p>
        </w:tc>
        <w:tc>
          <w:tcPr>
            <w:tcW w:w="1138" w:type="dxa"/>
            <w:vAlign w:val="center"/>
          </w:tcPr>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王军强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62" w:type="dxa"/>
            <w:vMerge w:val="continue"/>
            <w:vAlign w:val="center"/>
          </w:tcPr>
          <w:p>
            <w:pPr>
              <w:spacing w:line="280" w:lineRule="exact"/>
              <w:jc w:val="center"/>
              <w:rPr>
                <w:rFonts w:ascii="仿宋_GB2312" w:hAnsi="仿宋_GB2312" w:eastAsia="仿宋_GB2312" w:cs="仿宋_GB2312"/>
                <w:szCs w:val="21"/>
              </w:rPr>
            </w:pPr>
          </w:p>
        </w:tc>
        <w:tc>
          <w:tcPr>
            <w:tcW w:w="995" w:type="dxa"/>
            <w:vMerge w:val="continue"/>
            <w:vAlign w:val="center"/>
          </w:tcPr>
          <w:p>
            <w:pPr>
              <w:spacing w:line="280" w:lineRule="exact"/>
              <w:jc w:val="center"/>
              <w:rPr>
                <w:rFonts w:ascii="仿宋_GB2312" w:hAnsi="仿宋_GB2312" w:eastAsia="仿宋_GB2312" w:cs="仿宋_GB2312"/>
                <w:szCs w:val="21"/>
              </w:rPr>
            </w:pPr>
          </w:p>
        </w:tc>
        <w:tc>
          <w:tcPr>
            <w:tcW w:w="8499" w:type="dxa"/>
            <w:vAlign w:val="center"/>
          </w:tcPr>
          <w:p>
            <w:pPr>
              <w:spacing w:line="300" w:lineRule="exact"/>
              <w:jc w:val="left"/>
              <w:rPr>
                <w:rFonts w:ascii="仿宋_GB2312" w:hAnsi="仿宋_GB2312" w:eastAsia="仿宋_GB2312" w:cs="仿宋_GB2312"/>
                <w:szCs w:val="21"/>
              </w:rPr>
            </w:pPr>
            <w:r>
              <w:rPr>
                <w:rFonts w:hint="eastAsia" w:ascii="仿宋_GB2312" w:hAnsi="仿宋_GB2312" w:eastAsia="仿宋_GB2312" w:cs="仿宋_GB2312"/>
                <w:szCs w:val="21"/>
              </w:rPr>
              <w:t>校企共建“双师型”教师培训基地，全面提升教师“双师结构”。</w:t>
            </w:r>
          </w:p>
        </w:tc>
        <w:tc>
          <w:tcPr>
            <w:tcW w:w="1315" w:type="dxa"/>
            <w:vAlign w:val="center"/>
          </w:tcPr>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组织人事处</w:t>
            </w:r>
          </w:p>
        </w:tc>
        <w:tc>
          <w:tcPr>
            <w:tcW w:w="1706" w:type="dxa"/>
            <w:vAlign w:val="center"/>
          </w:tcPr>
          <w:p>
            <w:pPr>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教务处、对外合作处</w:t>
            </w:r>
          </w:p>
        </w:tc>
        <w:tc>
          <w:tcPr>
            <w:tcW w:w="1138" w:type="dxa"/>
            <w:vAlign w:val="center"/>
          </w:tcPr>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王军强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962" w:type="dxa"/>
            <w:vMerge w:val="continue"/>
            <w:vAlign w:val="center"/>
          </w:tcPr>
          <w:p>
            <w:pPr>
              <w:spacing w:line="280" w:lineRule="exact"/>
              <w:jc w:val="center"/>
              <w:rPr>
                <w:rFonts w:ascii="仿宋_GB2312" w:hAnsi="仿宋_GB2312" w:eastAsia="仿宋_GB2312" w:cs="仿宋_GB2312"/>
                <w:szCs w:val="21"/>
              </w:rPr>
            </w:pPr>
          </w:p>
        </w:tc>
        <w:tc>
          <w:tcPr>
            <w:tcW w:w="995" w:type="dxa"/>
            <w:vMerge w:val="continue"/>
            <w:vAlign w:val="center"/>
          </w:tcPr>
          <w:p>
            <w:pPr>
              <w:spacing w:line="280" w:lineRule="exact"/>
              <w:jc w:val="center"/>
              <w:rPr>
                <w:rFonts w:ascii="仿宋_GB2312" w:hAnsi="仿宋_GB2312" w:eastAsia="仿宋_GB2312" w:cs="仿宋_GB2312"/>
                <w:szCs w:val="21"/>
              </w:rPr>
            </w:pPr>
          </w:p>
        </w:tc>
        <w:tc>
          <w:tcPr>
            <w:tcW w:w="8499" w:type="dxa"/>
            <w:vAlign w:val="center"/>
          </w:tcPr>
          <w:p>
            <w:pPr>
              <w:spacing w:line="300" w:lineRule="exact"/>
              <w:jc w:val="left"/>
              <w:rPr>
                <w:rFonts w:ascii="仿宋_GB2312" w:hAnsi="仿宋_GB2312" w:eastAsia="仿宋_GB2312" w:cs="仿宋_GB2312"/>
                <w:szCs w:val="21"/>
              </w:rPr>
            </w:pPr>
            <w:r>
              <w:rPr>
                <w:rFonts w:hint="eastAsia" w:ascii="仿宋_GB2312" w:hAnsi="仿宋_GB2312" w:eastAsia="仿宋_GB2312" w:cs="仿宋_GB2312"/>
                <w:szCs w:val="21"/>
              </w:rPr>
              <w:t>至少创建1个符合项目式、模块化教学需要的省级教学创新团队。</w:t>
            </w:r>
          </w:p>
        </w:tc>
        <w:tc>
          <w:tcPr>
            <w:tcW w:w="1315" w:type="dxa"/>
            <w:vAlign w:val="center"/>
          </w:tcPr>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教务处</w:t>
            </w:r>
          </w:p>
        </w:tc>
        <w:tc>
          <w:tcPr>
            <w:tcW w:w="1706" w:type="dxa"/>
            <w:vAlign w:val="center"/>
          </w:tcPr>
          <w:p>
            <w:pPr>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各处室（馆、中心）、系部</w:t>
            </w:r>
          </w:p>
        </w:tc>
        <w:tc>
          <w:tcPr>
            <w:tcW w:w="1138" w:type="dxa"/>
            <w:vAlign w:val="center"/>
          </w:tcPr>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于春晓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962" w:type="dxa"/>
            <w:vMerge w:val="continue"/>
            <w:vAlign w:val="center"/>
          </w:tcPr>
          <w:p>
            <w:pPr>
              <w:spacing w:line="280" w:lineRule="exact"/>
              <w:jc w:val="center"/>
              <w:rPr>
                <w:rFonts w:ascii="仿宋_GB2312" w:hAnsi="仿宋_GB2312" w:eastAsia="仿宋_GB2312" w:cs="仿宋_GB2312"/>
                <w:szCs w:val="21"/>
              </w:rPr>
            </w:pPr>
          </w:p>
        </w:tc>
        <w:tc>
          <w:tcPr>
            <w:tcW w:w="995" w:type="dxa"/>
            <w:vMerge w:val="restart"/>
            <w:vAlign w:val="center"/>
          </w:tcPr>
          <w:p>
            <w:pPr>
              <w:spacing w:line="280" w:lineRule="exact"/>
              <w:jc w:val="center"/>
              <w:rPr>
                <w:rFonts w:ascii="仿宋_GB2312" w:hAnsi="仿宋_GB2312" w:eastAsia="仿宋_GB2312" w:cs="仿宋_GB2312"/>
                <w:szCs w:val="21"/>
              </w:rPr>
            </w:pPr>
            <w:r>
              <w:rPr>
                <w:rFonts w:hint="eastAsia" w:ascii="仿宋_GB2312" w:hAnsi="仿宋_GB2312" w:eastAsia="仿宋_GB2312" w:cs="仿宋_GB2312"/>
                <w:szCs w:val="21"/>
              </w:rPr>
              <w:t>13.激发队伍创新活力。</w:t>
            </w:r>
          </w:p>
        </w:tc>
        <w:tc>
          <w:tcPr>
            <w:tcW w:w="8499" w:type="dxa"/>
            <w:vAlign w:val="center"/>
          </w:tcPr>
          <w:p>
            <w:pPr>
              <w:spacing w:line="300" w:lineRule="exact"/>
              <w:jc w:val="left"/>
              <w:rPr>
                <w:rFonts w:ascii="仿宋_GB2312" w:hAnsi="仿宋_GB2312" w:eastAsia="仿宋_GB2312" w:cs="仿宋_GB2312"/>
                <w:szCs w:val="21"/>
              </w:rPr>
            </w:pPr>
            <w:r>
              <w:rPr>
                <w:rFonts w:hint="eastAsia" w:ascii="仿宋_GB2312" w:hAnsi="仿宋_GB2312" w:eastAsia="仿宋_GB2312" w:cs="仿宋_GB2312"/>
                <w:szCs w:val="21"/>
              </w:rPr>
              <w:t>完善教学质量评价制度，多维度考评教学工作实绩。</w:t>
            </w:r>
          </w:p>
        </w:tc>
        <w:tc>
          <w:tcPr>
            <w:tcW w:w="1315" w:type="dxa"/>
            <w:vAlign w:val="center"/>
          </w:tcPr>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教务处</w:t>
            </w:r>
          </w:p>
        </w:tc>
        <w:tc>
          <w:tcPr>
            <w:tcW w:w="1706" w:type="dxa"/>
            <w:vAlign w:val="center"/>
          </w:tcPr>
          <w:p>
            <w:pPr>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质控办</w:t>
            </w:r>
          </w:p>
        </w:tc>
        <w:tc>
          <w:tcPr>
            <w:tcW w:w="1138" w:type="dxa"/>
            <w:vAlign w:val="center"/>
          </w:tcPr>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于春晓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962" w:type="dxa"/>
            <w:vMerge w:val="continue"/>
            <w:vAlign w:val="center"/>
          </w:tcPr>
          <w:p>
            <w:pPr>
              <w:spacing w:line="280" w:lineRule="exact"/>
              <w:jc w:val="center"/>
              <w:rPr>
                <w:rFonts w:ascii="仿宋_GB2312" w:hAnsi="仿宋_GB2312" w:eastAsia="仿宋_GB2312" w:cs="仿宋_GB2312"/>
                <w:szCs w:val="21"/>
              </w:rPr>
            </w:pPr>
          </w:p>
        </w:tc>
        <w:tc>
          <w:tcPr>
            <w:tcW w:w="995" w:type="dxa"/>
            <w:vMerge w:val="continue"/>
            <w:vAlign w:val="center"/>
          </w:tcPr>
          <w:p>
            <w:pPr>
              <w:spacing w:line="280" w:lineRule="exact"/>
              <w:jc w:val="center"/>
              <w:rPr>
                <w:rFonts w:ascii="仿宋_GB2312" w:hAnsi="仿宋_GB2312" w:eastAsia="仿宋_GB2312" w:cs="仿宋_GB2312"/>
                <w:szCs w:val="21"/>
              </w:rPr>
            </w:pPr>
          </w:p>
        </w:tc>
        <w:tc>
          <w:tcPr>
            <w:tcW w:w="8499" w:type="dxa"/>
            <w:vAlign w:val="center"/>
          </w:tcPr>
          <w:p>
            <w:pPr>
              <w:spacing w:line="300" w:lineRule="exact"/>
              <w:jc w:val="left"/>
              <w:rPr>
                <w:rFonts w:ascii="仿宋_GB2312" w:hAnsi="仿宋_GB2312" w:eastAsia="仿宋_GB2312" w:cs="仿宋_GB2312"/>
                <w:szCs w:val="21"/>
              </w:rPr>
            </w:pPr>
            <w:r>
              <w:rPr>
                <w:rFonts w:hint="eastAsia" w:ascii="仿宋_GB2312" w:hAnsi="仿宋_GB2312" w:eastAsia="仿宋_GB2312" w:cs="仿宋_GB2312"/>
                <w:szCs w:val="21"/>
              </w:rPr>
              <w:t>完善教师考核评价机制，坚决克服“五唯”弊病。</w:t>
            </w:r>
          </w:p>
        </w:tc>
        <w:tc>
          <w:tcPr>
            <w:tcW w:w="1315" w:type="dxa"/>
            <w:vAlign w:val="center"/>
          </w:tcPr>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组织人事处</w:t>
            </w:r>
          </w:p>
        </w:tc>
        <w:tc>
          <w:tcPr>
            <w:tcW w:w="1706" w:type="dxa"/>
            <w:vAlign w:val="center"/>
          </w:tcPr>
          <w:p>
            <w:pPr>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质控办</w:t>
            </w:r>
          </w:p>
        </w:tc>
        <w:tc>
          <w:tcPr>
            <w:tcW w:w="1138" w:type="dxa"/>
            <w:vAlign w:val="center"/>
          </w:tcPr>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王军强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962" w:type="dxa"/>
            <w:vMerge w:val="continue"/>
            <w:vAlign w:val="center"/>
          </w:tcPr>
          <w:p>
            <w:pPr>
              <w:spacing w:line="280" w:lineRule="exact"/>
              <w:jc w:val="center"/>
              <w:rPr>
                <w:rFonts w:ascii="仿宋_GB2312" w:hAnsi="仿宋_GB2312" w:eastAsia="仿宋_GB2312" w:cs="仿宋_GB2312"/>
                <w:szCs w:val="21"/>
              </w:rPr>
            </w:pPr>
          </w:p>
        </w:tc>
        <w:tc>
          <w:tcPr>
            <w:tcW w:w="995" w:type="dxa"/>
            <w:vMerge w:val="continue"/>
            <w:vAlign w:val="center"/>
          </w:tcPr>
          <w:p>
            <w:pPr>
              <w:spacing w:line="280" w:lineRule="exact"/>
              <w:jc w:val="center"/>
              <w:rPr>
                <w:rFonts w:ascii="仿宋_GB2312" w:hAnsi="仿宋_GB2312" w:eastAsia="仿宋_GB2312" w:cs="仿宋_GB2312"/>
                <w:szCs w:val="21"/>
              </w:rPr>
            </w:pPr>
          </w:p>
        </w:tc>
        <w:tc>
          <w:tcPr>
            <w:tcW w:w="8499" w:type="dxa"/>
            <w:vAlign w:val="center"/>
          </w:tcPr>
          <w:p>
            <w:pPr>
              <w:spacing w:line="300" w:lineRule="exact"/>
              <w:jc w:val="left"/>
              <w:rPr>
                <w:rFonts w:ascii="仿宋_GB2312" w:hAnsi="仿宋_GB2312" w:eastAsia="仿宋_GB2312" w:cs="仿宋_GB2312"/>
                <w:szCs w:val="21"/>
              </w:rPr>
            </w:pPr>
            <w:r>
              <w:rPr>
                <w:rFonts w:hint="eastAsia" w:ascii="仿宋_GB2312" w:hAnsi="仿宋_GB2312" w:eastAsia="仿宋_GB2312" w:cs="仿宋_GB2312"/>
                <w:szCs w:val="21"/>
              </w:rPr>
              <w:t>完善绩效考核办法，健全内部收入分配机制，切实发挥收入分配政策的激励导向作用。</w:t>
            </w:r>
          </w:p>
        </w:tc>
        <w:tc>
          <w:tcPr>
            <w:tcW w:w="1315" w:type="dxa"/>
            <w:vAlign w:val="center"/>
          </w:tcPr>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质控办</w:t>
            </w:r>
          </w:p>
        </w:tc>
        <w:tc>
          <w:tcPr>
            <w:tcW w:w="1706" w:type="dxa"/>
            <w:vAlign w:val="center"/>
          </w:tcPr>
          <w:p>
            <w:pPr>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组织人事处</w:t>
            </w:r>
          </w:p>
        </w:tc>
        <w:tc>
          <w:tcPr>
            <w:tcW w:w="1138" w:type="dxa"/>
            <w:vAlign w:val="center"/>
          </w:tcPr>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杨  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962" w:type="dxa"/>
            <w:vMerge w:val="restart"/>
            <w:vAlign w:val="center"/>
          </w:tcPr>
          <w:p>
            <w:pPr>
              <w:spacing w:line="280" w:lineRule="exact"/>
              <w:jc w:val="center"/>
              <w:rPr>
                <w:rFonts w:ascii="仿宋_GB2312" w:hAnsi="仿宋_GB2312" w:eastAsia="仿宋_GB2312" w:cs="仿宋_GB2312"/>
                <w:szCs w:val="21"/>
              </w:rPr>
            </w:pPr>
            <w:r>
              <w:rPr>
                <w:rFonts w:hint="eastAsia" w:ascii="仿宋_GB2312" w:hAnsi="仿宋_GB2312" w:eastAsia="仿宋_GB2312" w:cs="仿宋_GB2312"/>
                <w:szCs w:val="21"/>
              </w:rPr>
              <w:t>四、坚定不移抓实教育教学改革，切实推动内涵建设高质量发展。</w:t>
            </w:r>
          </w:p>
        </w:tc>
        <w:tc>
          <w:tcPr>
            <w:tcW w:w="995" w:type="dxa"/>
            <w:vMerge w:val="restart"/>
            <w:vAlign w:val="center"/>
          </w:tcPr>
          <w:p>
            <w:pPr>
              <w:spacing w:line="280" w:lineRule="exact"/>
              <w:jc w:val="center"/>
              <w:rPr>
                <w:rFonts w:ascii="仿宋_GB2312" w:hAnsi="仿宋_GB2312" w:eastAsia="仿宋_GB2312" w:cs="仿宋_GB2312"/>
                <w:szCs w:val="21"/>
              </w:rPr>
            </w:pPr>
            <w:r>
              <w:rPr>
                <w:rFonts w:hint="eastAsia" w:ascii="仿宋_GB2312" w:hAnsi="仿宋_GB2312" w:eastAsia="仿宋_GB2312" w:cs="仿宋_GB2312"/>
                <w:szCs w:val="21"/>
              </w:rPr>
              <w:t>14.创新人才培养模式。创新人才培养模式。</w:t>
            </w:r>
          </w:p>
        </w:tc>
        <w:tc>
          <w:tcPr>
            <w:tcW w:w="8499" w:type="dxa"/>
            <w:vAlign w:val="center"/>
          </w:tcPr>
          <w:p>
            <w:pPr>
              <w:spacing w:line="300" w:lineRule="exact"/>
              <w:jc w:val="left"/>
              <w:rPr>
                <w:rFonts w:ascii="仿宋_GB2312" w:hAnsi="仿宋_GB2312" w:eastAsia="仿宋_GB2312" w:cs="仿宋_GB2312"/>
                <w:szCs w:val="21"/>
              </w:rPr>
            </w:pPr>
            <w:r>
              <w:rPr>
                <w:rFonts w:hint="eastAsia" w:ascii="仿宋_GB2312" w:hAnsi="仿宋_GB2312" w:eastAsia="仿宋_GB2312" w:cs="仿宋_GB2312"/>
                <w:szCs w:val="21"/>
              </w:rPr>
              <w:t>落实高职院校综合测评制度。培育认定一批2021年度齐鲁工匠后备人才。2021级新生全面实施学分制。统筹用好政府培训补贴，支持学生考取职业技能等级证书，每个专业方向至少对接1个“X”证书。试行学分银行。</w:t>
            </w:r>
          </w:p>
        </w:tc>
        <w:tc>
          <w:tcPr>
            <w:tcW w:w="1315" w:type="dxa"/>
            <w:vAlign w:val="center"/>
          </w:tcPr>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教务处</w:t>
            </w:r>
          </w:p>
        </w:tc>
        <w:tc>
          <w:tcPr>
            <w:tcW w:w="1706" w:type="dxa"/>
            <w:vAlign w:val="center"/>
          </w:tcPr>
          <w:p>
            <w:pPr>
              <w:spacing w:line="240" w:lineRule="exact"/>
              <w:jc w:val="center"/>
              <w:rPr>
                <w:rFonts w:ascii="仿宋_GB2312" w:hAnsi="仿宋_GB2312" w:eastAsia="仿宋_GB2312" w:cs="仿宋_GB2312"/>
                <w:szCs w:val="21"/>
              </w:rPr>
            </w:pPr>
            <w:r>
              <w:rPr>
                <w:rFonts w:ascii="仿宋_GB2312" w:hAnsi="仿宋_GB2312" w:eastAsia="仿宋_GB2312" w:cs="仿宋_GB2312"/>
                <w:szCs w:val="21"/>
              </w:rPr>
              <w:t>财务资产处、培训服务中心、各系</w:t>
            </w:r>
          </w:p>
        </w:tc>
        <w:tc>
          <w:tcPr>
            <w:tcW w:w="1138" w:type="dxa"/>
            <w:vAlign w:val="center"/>
          </w:tcPr>
          <w:p>
            <w:pPr>
              <w:spacing w:line="300" w:lineRule="exact"/>
              <w:jc w:val="center"/>
              <w:rPr>
                <w:rFonts w:ascii="仿宋_GB2312" w:hAnsi="仿宋_GB2312" w:eastAsia="仿宋_GB2312" w:cs="仿宋_GB2312"/>
                <w:szCs w:val="21"/>
              </w:rPr>
            </w:pPr>
            <w:r>
              <w:rPr>
                <w:rFonts w:ascii="仿宋_GB2312" w:hAnsi="仿宋_GB2312" w:eastAsia="仿宋_GB2312" w:cs="仿宋_GB2312"/>
                <w:szCs w:val="21"/>
              </w:rPr>
              <w:t>于春晓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962" w:type="dxa"/>
            <w:vMerge w:val="continue"/>
            <w:vAlign w:val="center"/>
          </w:tcPr>
          <w:p>
            <w:pPr>
              <w:spacing w:line="280" w:lineRule="exact"/>
              <w:jc w:val="center"/>
              <w:rPr>
                <w:rFonts w:ascii="仿宋_GB2312" w:hAnsi="仿宋_GB2312" w:eastAsia="仿宋_GB2312" w:cs="仿宋_GB2312"/>
                <w:szCs w:val="21"/>
              </w:rPr>
            </w:pPr>
          </w:p>
        </w:tc>
        <w:tc>
          <w:tcPr>
            <w:tcW w:w="995" w:type="dxa"/>
            <w:vMerge w:val="continue"/>
            <w:vAlign w:val="center"/>
          </w:tcPr>
          <w:p>
            <w:pPr>
              <w:spacing w:line="280" w:lineRule="exact"/>
              <w:jc w:val="center"/>
              <w:rPr>
                <w:rFonts w:ascii="仿宋_GB2312" w:hAnsi="仿宋_GB2312" w:eastAsia="仿宋_GB2312" w:cs="仿宋_GB2312"/>
                <w:szCs w:val="21"/>
              </w:rPr>
            </w:pPr>
          </w:p>
        </w:tc>
        <w:tc>
          <w:tcPr>
            <w:tcW w:w="8499" w:type="dxa"/>
            <w:vAlign w:val="center"/>
          </w:tcPr>
          <w:p>
            <w:pPr>
              <w:spacing w:line="300" w:lineRule="exact"/>
              <w:jc w:val="left"/>
              <w:rPr>
                <w:rFonts w:ascii="仿宋_GB2312" w:hAnsi="仿宋_GB2312" w:eastAsia="仿宋_GB2312" w:cs="仿宋_GB2312"/>
                <w:szCs w:val="21"/>
              </w:rPr>
            </w:pPr>
            <w:r>
              <w:rPr>
                <w:rFonts w:hint="eastAsia" w:ascii="仿宋_GB2312" w:hAnsi="仿宋_GB2312" w:eastAsia="仿宋_GB2312" w:cs="仿宋_GB2312"/>
                <w:szCs w:val="21"/>
              </w:rPr>
              <w:t>与威海水产学校等中职院校协同发展，落实好“3+2”贯通培养合作计划；对接青岛农业大学、山东青年政治学院、滨州学院、</w:t>
            </w:r>
            <w:r>
              <w:rPr>
                <w:rFonts w:hint="eastAsia" w:ascii="仿宋_GB2312" w:hAnsi="仿宋_GB2312" w:eastAsia="仿宋_GB2312" w:cs="仿宋_GB2312"/>
                <w:spacing w:val="-10"/>
                <w:szCs w:val="21"/>
              </w:rPr>
              <w:t>山东外事职业大学等本科院校争取“3＋2”专本贯通培养新突破。</w:t>
            </w:r>
          </w:p>
        </w:tc>
        <w:tc>
          <w:tcPr>
            <w:tcW w:w="1315" w:type="dxa"/>
            <w:vAlign w:val="center"/>
          </w:tcPr>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招生就业处</w:t>
            </w:r>
          </w:p>
        </w:tc>
        <w:tc>
          <w:tcPr>
            <w:tcW w:w="1706" w:type="dxa"/>
            <w:vAlign w:val="center"/>
          </w:tcPr>
          <w:p>
            <w:pPr>
              <w:spacing w:line="240" w:lineRule="exact"/>
              <w:jc w:val="center"/>
              <w:rPr>
                <w:rFonts w:ascii="仿宋_GB2312" w:hAnsi="仿宋_GB2312" w:eastAsia="仿宋_GB2312" w:cs="仿宋_GB2312"/>
                <w:szCs w:val="21"/>
              </w:rPr>
            </w:pPr>
            <w:r>
              <w:rPr>
                <w:rFonts w:ascii="仿宋_GB2312" w:hAnsi="仿宋_GB2312" w:eastAsia="仿宋_GB2312" w:cs="仿宋_GB2312"/>
                <w:szCs w:val="21"/>
              </w:rPr>
              <w:t>对外合作处</w:t>
            </w:r>
          </w:p>
        </w:tc>
        <w:tc>
          <w:tcPr>
            <w:tcW w:w="1138" w:type="dxa"/>
            <w:vAlign w:val="center"/>
          </w:tcPr>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刘春柳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962" w:type="dxa"/>
            <w:vMerge w:val="continue"/>
            <w:vAlign w:val="center"/>
          </w:tcPr>
          <w:p>
            <w:pPr>
              <w:spacing w:line="280" w:lineRule="exact"/>
              <w:jc w:val="center"/>
              <w:rPr>
                <w:rFonts w:ascii="仿宋_GB2312" w:hAnsi="仿宋_GB2312" w:eastAsia="仿宋_GB2312" w:cs="仿宋_GB2312"/>
                <w:szCs w:val="21"/>
              </w:rPr>
            </w:pPr>
          </w:p>
        </w:tc>
        <w:tc>
          <w:tcPr>
            <w:tcW w:w="995" w:type="dxa"/>
            <w:vMerge w:val="restart"/>
            <w:vAlign w:val="center"/>
          </w:tcPr>
          <w:p>
            <w:pPr>
              <w:spacing w:line="280" w:lineRule="exact"/>
              <w:jc w:val="center"/>
              <w:rPr>
                <w:rFonts w:ascii="仿宋_GB2312" w:hAnsi="仿宋_GB2312" w:eastAsia="仿宋_GB2312" w:cs="仿宋_GB2312"/>
                <w:szCs w:val="21"/>
              </w:rPr>
            </w:pPr>
            <w:r>
              <w:rPr>
                <w:rFonts w:hint="eastAsia" w:ascii="仿宋_GB2312" w:hAnsi="仿宋_GB2312" w:eastAsia="仿宋_GB2312" w:cs="仿宋_GB2312"/>
                <w:szCs w:val="21"/>
              </w:rPr>
              <w:t>15.加强专业（群）建设。</w:t>
            </w:r>
          </w:p>
        </w:tc>
        <w:tc>
          <w:tcPr>
            <w:tcW w:w="8499" w:type="dxa"/>
            <w:vAlign w:val="center"/>
          </w:tcPr>
          <w:p>
            <w:pPr>
              <w:spacing w:line="300" w:lineRule="exact"/>
              <w:jc w:val="left"/>
              <w:rPr>
                <w:rFonts w:ascii="仿宋_GB2312" w:hAnsi="仿宋_GB2312" w:eastAsia="仿宋_GB2312" w:cs="仿宋_GB2312"/>
                <w:spacing w:val="-24"/>
                <w:szCs w:val="21"/>
              </w:rPr>
            </w:pPr>
            <w:r>
              <w:rPr>
                <w:rFonts w:hint="eastAsia" w:ascii="仿宋_GB2312" w:hAnsi="仿宋_GB2312" w:eastAsia="仿宋_GB2312" w:cs="仿宋_GB2312"/>
                <w:spacing w:val="-24"/>
                <w:szCs w:val="21"/>
              </w:rPr>
              <w:t>健全专业（群）建设发展机制，优化专业（群）结构布局和内涵建设，力争在专业发展水平考核中取得优异成绩。</w:t>
            </w:r>
          </w:p>
        </w:tc>
        <w:tc>
          <w:tcPr>
            <w:tcW w:w="1315" w:type="dxa"/>
            <w:vAlign w:val="center"/>
          </w:tcPr>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教务处</w:t>
            </w:r>
          </w:p>
        </w:tc>
        <w:tc>
          <w:tcPr>
            <w:tcW w:w="1706" w:type="dxa"/>
            <w:vAlign w:val="center"/>
          </w:tcPr>
          <w:p>
            <w:pPr>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各系</w:t>
            </w:r>
          </w:p>
        </w:tc>
        <w:tc>
          <w:tcPr>
            <w:tcW w:w="1138" w:type="dxa"/>
            <w:vAlign w:val="center"/>
          </w:tcPr>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于春晓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962" w:type="dxa"/>
            <w:vMerge w:val="continue"/>
            <w:vAlign w:val="center"/>
          </w:tcPr>
          <w:p>
            <w:pPr>
              <w:spacing w:line="280" w:lineRule="exact"/>
              <w:jc w:val="center"/>
              <w:rPr>
                <w:rFonts w:ascii="仿宋_GB2312" w:hAnsi="仿宋_GB2312" w:eastAsia="仿宋_GB2312" w:cs="仿宋_GB2312"/>
                <w:szCs w:val="21"/>
              </w:rPr>
            </w:pPr>
          </w:p>
        </w:tc>
        <w:tc>
          <w:tcPr>
            <w:tcW w:w="995" w:type="dxa"/>
            <w:vMerge w:val="continue"/>
            <w:vAlign w:val="center"/>
          </w:tcPr>
          <w:p>
            <w:pPr>
              <w:spacing w:line="280" w:lineRule="exact"/>
              <w:jc w:val="center"/>
              <w:rPr>
                <w:rFonts w:ascii="仿宋_GB2312" w:hAnsi="仿宋_GB2312" w:eastAsia="仿宋_GB2312" w:cs="仿宋_GB2312"/>
                <w:szCs w:val="21"/>
              </w:rPr>
            </w:pPr>
          </w:p>
        </w:tc>
        <w:tc>
          <w:tcPr>
            <w:tcW w:w="8499" w:type="dxa"/>
            <w:vAlign w:val="center"/>
          </w:tcPr>
          <w:p>
            <w:pPr>
              <w:spacing w:line="300" w:lineRule="exact"/>
              <w:jc w:val="left"/>
              <w:rPr>
                <w:rFonts w:ascii="仿宋_GB2312" w:hAnsi="仿宋_GB2312" w:eastAsia="仿宋_GB2312" w:cs="仿宋_GB2312"/>
                <w:szCs w:val="21"/>
              </w:rPr>
            </w:pPr>
            <w:r>
              <w:rPr>
                <w:rFonts w:hint="eastAsia" w:ascii="仿宋_GB2312" w:hAnsi="仿宋_GB2312" w:eastAsia="仿宋_GB2312" w:cs="仿宋_GB2312"/>
                <w:szCs w:val="21"/>
              </w:rPr>
              <w:t>加强涉海专业（群）建设，新增6个专业招生。</w:t>
            </w:r>
          </w:p>
        </w:tc>
        <w:tc>
          <w:tcPr>
            <w:tcW w:w="1315" w:type="dxa"/>
            <w:vAlign w:val="center"/>
          </w:tcPr>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教务处</w:t>
            </w:r>
          </w:p>
        </w:tc>
        <w:tc>
          <w:tcPr>
            <w:tcW w:w="1706" w:type="dxa"/>
            <w:vAlign w:val="center"/>
          </w:tcPr>
          <w:p>
            <w:pPr>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招生就业处、</w:t>
            </w:r>
          </w:p>
          <w:p>
            <w:pPr>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相关系</w:t>
            </w:r>
          </w:p>
        </w:tc>
        <w:tc>
          <w:tcPr>
            <w:tcW w:w="1138" w:type="dxa"/>
            <w:vAlign w:val="center"/>
          </w:tcPr>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刘春柳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962" w:type="dxa"/>
            <w:vMerge w:val="continue"/>
            <w:vAlign w:val="center"/>
          </w:tcPr>
          <w:p>
            <w:pPr>
              <w:spacing w:line="280" w:lineRule="exact"/>
              <w:jc w:val="center"/>
              <w:rPr>
                <w:rFonts w:ascii="仿宋_GB2312" w:hAnsi="仿宋_GB2312" w:eastAsia="仿宋_GB2312" w:cs="仿宋_GB2312"/>
                <w:szCs w:val="21"/>
              </w:rPr>
            </w:pPr>
          </w:p>
        </w:tc>
        <w:tc>
          <w:tcPr>
            <w:tcW w:w="995" w:type="dxa"/>
            <w:vMerge w:val="continue"/>
            <w:vAlign w:val="center"/>
          </w:tcPr>
          <w:p>
            <w:pPr>
              <w:spacing w:line="280" w:lineRule="exact"/>
              <w:jc w:val="center"/>
              <w:rPr>
                <w:rFonts w:ascii="仿宋_GB2312" w:hAnsi="仿宋_GB2312" w:eastAsia="仿宋_GB2312" w:cs="仿宋_GB2312"/>
                <w:szCs w:val="21"/>
              </w:rPr>
            </w:pPr>
          </w:p>
        </w:tc>
        <w:tc>
          <w:tcPr>
            <w:tcW w:w="8499" w:type="dxa"/>
            <w:vAlign w:val="center"/>
          </w:tcPr>
          <w:p>
            <w:pPr>
              <w:spacing w:line="300" w:lineRule="exact"/>
              <w:jc w:val="left"/>
              <w:rPr>
                <w:rFonts w:ascii="仿宋_GB2312" w:hAnsi="仿宋_GB2312" w:eastAsia="仿宋_GB2312" w:cs="仿宋_GB2312"/>
                <w:spacing w:val="-10"/>
                <w:szCs w:val="21"/>
              </w:rPr>
            </w:pPr>
            <w:r>
              <w:rPr>
                <w:rFonts w:hint="eastAsia" w:ascii="仿宋_GB2312" w:hAnsi="仿宋_GB2312" w:eastAsia="仿宋_GB2312" w:cs="仿宋_GB2312"/>
                <w:spacing w:val="-10"/>
                <w:szCs w:val="21"/>
              </w:rPr>
              <w:t>推动至少1个专业群进入省级高水平专业群建设方阵, 3个专业申报本科层次职业教育专业，第二批、第三批省品牌专业群通过验收。</w:t>
            </w:r>
          </w:p>
        </w:tc>
        <w:tc>
          <w:tcPr>
            <w:tcW w:w="1315" w:type="dxa"/>
            <w:vAlign w:val="center"/>
          </w:tcPr>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教务处</w:t>
            </w:r>
          </w:p>
        </w:tc>
        <w:tc>
          <w:tcPr>
            <w:tcW w:w="1706" w:type="dxa"/>
            <w:vAlign w:val="center"/>
          </w:tcPr>
          <w:p>
            <w:pPr>
              <w:spacing w:line="240" w:lineRule="exact"/>
              <w:jc w:val="center"/>
              <w:rPr>
                <w:rFonts w:ascii="仿宋_GB2312" w:hAnsi="仿宋_GB2312" w:eastAsia="仿宋_GB2312" w:cs="仿宋_GB2312"/>
                <w:szCs w:val="21"/>
              </w:rPr>
            </w:pPr>
            <w:r>
              <w:rPr>
                <w:rFonts w:ascii="仿宋_GB2312" w:hAnsi="仿宋_GB2312" w:eastAsia="仿宋_GB2312" w:cs="仿宋_GB2312"/>
                <w:szCs w:val="21"/>
              </w:rPr>
              <w:t>相关系</w:t>
            </w:r>
          </w:p>
        </w:tc>
        <w:tc>
          <w:tcPr>
            <w:tcW w:w="1138" w:type="dxa"/>
            <w:vAlign w:val="center"/>
          </w:tcPr>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于春晓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962" w:type="dxa"/>
            <w:vMerge w:val="continue"/>
            <w:vAlign w:val="center"/>
          </w:tcPr>
          <w:p>
            <w:pPr>
              <w:spacing w:line="280" w:lineRule="exact"/>
              <w:jc w:val="center"/>
              <w:rPr>
                <w:rFonts w:ascii="仿宋_GB2312" w:hAnsi="仿宋_GB2312" w:eastAsia="仿宋_GB2312" w:cs="仿宋_GB2312"/>
                <w:szCs w:val="21"/>
              </w:rPr>
            </w:pPr>
          </w:p>
        </w:tc>
        <w:tc>
          <w:tcPr>
            <w:tcW w:w="995" w:type="dxa"/>
            <w:vMerge w:val="continue"/>
            <w:vAlign w:val="center"/>
          </w:tcPr>
          <w:p>
            <w:pPr>
              <w:spacing w:line="280" w:lineRule="exact"/>
              <w:jc w:val="center"/>
              <w:rPr>
                <w:rFonts w:ascii="仿宋_GB2312" w:hAnsi="仿宋_GB2312" w:eastAsia="仿宋_GB2312" w:cs="仿宋_GB2312"/>
                <w:szCs w:val="21"/>
              </w:rPr>
            </w:pPr>
          </w:p>
        </w:tc>
        <w:tc>
          <w:tcPr>
            <w:tcW w:w="8499" w:type="dxa"/>
            <w:vAlign w:val="center"/>
          </w:tcPr>
          <w:p>
            <w:pPr>
              <w:spacing w:line="300" w:lineRule="exact"/>
              <w:jc w:val="left"/>
              <w:rPr>
                <w:rFonts w:ascii="仿宋_GB2312" w:hAnsi="仿宋_GB2312" w:eastAsia="仿宋_GB2312" w:cs="仿宋_GB2312"/>
                <w:spacing w:val="-10"/>
                <w:szCs w:val="21"/>
              </w:rPr>
            </w:pPr>
            <w:r>
              <w:rPr>
                <w:rFonts w:hint="eastAsia" w:ascii="仿宋_GB2312" w:hAnsi="仿宋_GB2312" w:eastAsia="仿宋_GB2312" w:cs="仿宋_GB2312"/>
                <w:spacing w:val="-10"/>
                <w:szCs w:val="21"/>
              </w:rPr>
              <w:t>完善专业（群）教学管理制度，引入行业、企业和第三方在专业（群）建设、评价等方面的参与力度。</w:t>
            </w:r>
          </w:p>
        </w:tc>
        <w:tc>
          <w:tcPr>
            <w:tcW w:w="1315" w:type="dxa"/>
            <w:vAlign w:val="center"/>
          </w:tcPr>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教务处</w:t>
            </w:r>
          </w:p>
        </w:tc>
        <w:tc>
          <w:tcPr>
            <w:tcW w:w="1706" w:type="dxa"/>
            <w:vAlign w:val="center"/>
          </w:tcPr>
          <w:p>
            <w:pPr>
              <w:spacing w:line="240" w:lineRule="exact"/>
              <w:jc w:val="center"/>
              <w:rPr>
                <w:rFonts w:ascii="仿宋_GB2312" w:hAnsi="仿宋_GB2312" w:eastAsia="仿宋_GB2312" w:cs="仿宋_GB2312"/>
                <w:szCs w:val="21"/>
              </w:rPr>
            </w:pPr>
            <w:r>
              <w:rPr>
                <w:rFonts w:ascii="仿宋_GB2312" w:hAnsi="仿宋_GB2312" w:eastAsia="仿宋_GB2312" w:cs="仿宋_GB2312"/>
                <w:szCs w:val="21"/>
              </w:rPr>
              <w:t>各系</w:t>
            </w:r>
          </w:p>
        </w:tc>
        <w:tc>
          <w:tcPr>
            <w:tcW w:w="1138" w:type="dxa"/>
            <w:vAlign w:val="center"/>
          </w:tcPr>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于春晓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trPr>
        <w:tc>
          <w:tcPr>
            <w:tcW w:w="962" w:type="dxa"/>
            <w:vMerge w:val="continue"/>
            <w:vAlign w:val="center"/>
          </w:tcPr>
          <w:p>
            <w:pPr>
              <w:spacing w:line="280" w:lineRule="exact"/>
              <w:jc w:val="center"/>
              <w:rPr>
                <w:rFonts w:ascii="仿宋_GB2312" w:hAnsi="仿宋_GB2312" w:eastAsia="仿宋_GB2312" w:cs="仿宋_GB2312"/>
                <w:szCs w:val="21"/>
              </w:rPr>
            </w:pPr>
          </w:p>
        </w:tc>
        <w:tc>
          <w:tcPr>
            <w:tcW w:w="995" w:type="dxa"/>
            <w:vMerge w:val="continue"/>
            <w:vAlign w:val="center"/>
          </w:tcPr>
          <w:p>
            <w:pPr>
              <w:spacing w:line="280" w:lineRule="exact"/>
              <w:jc w:val="center"/>
              <w:rPr>
                <w:rFonts w:ascii="仿宋_GB2312" w:hAnsi="仿宋_GB2312" w:eastAsia="仿宋_GB2312" w:cs="仿宋_GB2312"/>
                <w:szCs w:val="21"/>
              </w:rPr>
            </w:pPr>
          </w:p>
        </w:tc>
        <w:tc>
          <w:tcPr>
            <w:tcW w:w="8499" w:type="dxa"/>
            <w:vAlign w:val="center"/>
          </w:tcPr>
          <w:p>
            <w:pPr>
              <w:spacing w:line="300" w:lineRule="exact"/>
              <w:jc w:val="left"/>
              <w:rPr>
                <w:rFonts w:ascii="仿宋_GB2312" w:hAnsi="仿宋_GB2312" w:eastAsia="仿宋_GB2312" w:cs="仿宋_GB2312"/>
                <w:spacing w:val="-10"/>
                <w:szCs w:val="21"/>
              </w:rPr>
            </w:pPr>
            <w:r>
              <w:rPr>
                <w:rFonts w:hint="eastAsia" w:ascii="仿宋_GB2312" w:hAnsi="仿宋_GB2312" w:eastAsia="仿宋_GB2312" w:cs="仿宋_GB2312"/>
                <w:spacing w:val="-10"/>
                <w:szCs w:val="21"/>
              </w:rPr>
              <w:t>校企共同研制、修订教育教学相关标准，建设开放共享的专业（群）课程教学资源和实践教学基地。</w:t>
            </w:r>
          </w:p>
        </w:tc>
        <w:tc>
          <w:tcPr>
            <w:tcW w:w="1315" w:type="dxa"/>
            <w:vAlign w:val="center"/>
          </w:tcPr>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教务处</w:t>
            </w:r>
          </w:p>
        </w:tc>
        <w:tc>
          <w:tcPr>
            <w:tcW w:w="1706" w:type="dxa"/>
            <w:vAlign w:val="center"/>
          </w:tcPr>
          <w:p>
            <w:pPr>
              <w:spacing w:line="300" w:lineRule="exact"/>
              <w:jc w:val="left"/>
              <w:rPr>
                <w:rFonts w:ascii="仿宋_GB2312" w:hAnsi="仿宋_GB2312" w:eastAsia="仿宋_GB2312" w:cs="仿宋_GB2312"/>
                <w:spacing w:val="-10"/>
                <w:szCs w:val="21"/>
              </w:rPr>
            </w:pPr>
            <w:r>
              <w:rPr>
                <w:rFonts w:hint="eastAsia" w:ascii="仿宋_GB2312" w:hAnsi="仿宋_GB2312" w:eastAsia="仿宋_GB2312" w:cs="仿宋_GB2312"/>
                <w:spacing w:val="-10"/>
                <w:szCs w:val="21"/>
              </w:rPr>
              <w:t>对外合作处、各系</w:t>
            </w:r>
          </w:p>
        </w:tc>
        <w:tc>
          <w:tcPr>
            <w:tcW w:w="1138" w:type="dxa"/>
            <w:vAlign w:val="center"/>
          </w:tcPr>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于春晓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962" w:type="dxa"/>
            <w:vMerge w:val="continue"/>
            <w:vAlign w:val="center"/>
          </w:tcPr>
          <w:p>
            <w:pPr>
              <w:spacing w:line="280" w:lineRule="exact"/>
              <w:jc w:val="center"/>
              <w:rPr>
                <w:rFonts w:ascii="仿宋_GB2312" w:hAnsi="仿宋_GB2312" w:eastAsia="仿宋_GB2312" w:cs="仿宋_GB2312"/>
                <w:szCs w:val="21"/>
              </w:rPr>
            </w:pPr>
          </w:p>
        </w:tc>
        <w:tc>
          <w:tcPr>
            <w:tcW w:w="995" w:type="dxa"/>
            <w:vAlign w:val="center"/>
          </w:tcPr>
          <w:p>
            <w:pPr>
              <w:spacing w:line="280" w:lineRule="exact"/>
              <w:jc w:val="center"/>
              <w:rPr>
                <w:rFonts w:ascii="仿宋_GB2312" w:hAnsi="仿宋_GB2312" w:eastAsia="仿宋_GB2312" w:cs="仿宋_GB2312"/>
                <w:szCs w:val="21"/>
              </w:rPr>
            </w:pPr>
            <w:r>
              <w:rPr>
                <w:rFonts w:hint="eastAsia" w:ascii="仿宋_GB2312" w:hAnsi="仿宋_GB2312" w:eastAsia="仿宋_GB2312" w:cs="仿宋_GB2312"/>
                <w:szCs w:val="21"/>
              </w:rPr>
              <w:t>16.深化“三教”改革。</w:t>
            </w:r>
          </w:p>
        </w:tc>
        <w:tc>
          <w:tcPr>
            <w:tcW w:w="8499" w:type="dxa"/>
            <w:vAlign w:val="center"/>
          </w:tcPr>
          <w:p>
            <w:pPr>
              <w:spacing w:line="300" w:lineRule="exact"/>
              <w:jc w:val="left"/>
              <w:rPr>
                <w:rFonts w:ascii="仿宋_GB2312" w:hAnsi="仿宋_GB2312" w:eastAsia="仿宋_GB2312" w:cs="仿宋_GB2312"/>
                <w:szCs w:val="21"/>
              </w:rPr>
            </w:pPr>
            <w:r>
              <w:rPr>
                <w:rFonts w:hint="eastAsia" w:ascii="仿宋_GB2312" w:hAnsi="仿宋_GB2312" w:eastAsia="仿宋_GB2312" w:cs="仿宋_GB2312"/>
                <w:szCs w:val="21"/>
              </w:rPr>
              <w:t>高质量实施教学提质升级专项行动，做好省级教学成果特等奖、国家级教学成果奖培育工作。严格教材选用制度和教学用书目录，严把教学标准关口，倡导使用新型活页式、工作手册式教材并配套开发信息化资源。积极实行体现行动导向的项目教学、案例教学、情境教学、模块化教学，夯实课堂“主阵地”。引入大数据、人工智能等现代教育技术，推进虚拟工厂等网络学习空间建设和普遍应用。开展第二批院级教学改革项目，力争建设省级精品资源共享课12门左右。认真组织职业教育活动周活动，积极承办和参加职业院校技能大赛，争取国赛实现新突破、省赛一等奖达到5项、二等奖大幅提升。</w:t>
            </w:r>
          </w:p>
        </w:tc>
        <w:tc>
          <w:tcPr>
            <w:tcW w:w="1315" w:type="dxa"/>
            <w:vAlign w:val="center"/>
          </w:tcPr>
          <w:p>
            <w:pPr>
              <w:spacing w:line="300" w:lineRule="exact"/>
              <w:jc w:val="center"/>
              <w:rPr>
                <w:rFonts w:ascii="仿宋_GB2312" w:hAnsi="仿宋_GB2312" w:eastAsia="仿宋_GB2312" w:cs="仿宋_GB2312"/>
                <w:szCs w:val="21"/>
              </w:rPr>
            </w:pPr>
            <w:r>
              <w:rPr>
                <w:rFonts w:ascii="仿宋_GB2312" w:hAnsi="仿宋_GB2312" w:eastAsia="仿宋_GB2312" w:cs="仿宋_GB2312"/>
                <w:szCs w:val="21"/>
              </w:rPr>
              <w:t>教务处</w:t>
            </w:r>
          </w:p>
        </w:tc>
        <w:tc>
          <w:tcPr>
            <w:tcW w:w="1706" w:type="dxa"/>
            <w:vAlign w:val="center"/>
          </w:tcPr>
          <w:p>
            <w:pPr>
              <w:spacing w:line="240" w:lineRule="exact"/>
              <w:jc w:val="center"/>
              <w:rPr>
                <w:rFonts w:ascii="仿宋_GB2312" w:hAnsi="仿宋_GB2312" w:eastAsia="仿宋_GB2312" w:cs="仿宋_GB2312"/>
                <w:szCs w:val="21"/>
              </w:rPr>
            </w:pPr>
            <w:r>
              <w:rPr>
                <w:rFonts w:ascii="仿宋_GB2312" w:hAnsi="仿宋_GB2312" w:eastAsia="仿宋_GB2312" w:cs="仿宋_GB2312"/>
                <w:szCs w:val="21"/>
              </w:rPr>
              <w:t>各处室（馆、中心）、系部</w:t>
            </w:r>
          </w:p>
        </w:tc>
        <w:tc>
          <w:tcPr>
            <w:tcW w:w="1138" w:type="dxa"/>
            <w:vAlign w:val="center"/>
          </w:tcPr>
          <w:p>
            <w:pPr>
              <w:spacing w:line="300" w:lineRule="exact"/>
              <w:jc w:val="center"/>
              <w:rPr>
                <w:rFonts w:ascii="仿宋_GB2312" w:hAnsi="仿宋_GB2312" w:eastAsia="仿宋_GB2312" w:cs="仿宋_GB2312"/>
                <w:szCs w:val="21"/>
              </w:rPr>
            </w:pPr>
            <w:r>
              <w:rPr>
                <w:rFonts w:ascii="仿宋_GB2312" w:hAnsi="仿宋_GB2312" w:eastAsia="仿宋_GB2312" w:cs="仿宋_GB2312"/>
                <w:szCs w:val="21"/>
              </w:rPr>
              <w:t>于春晓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962" w:type="dxa"/>
            <w:vMerge w:val="continue"/>
            <w:vAlign w:val="center"/>
          </w:tcPr>
          <w:p>
            <w:pPr>
              <w:spacing w:line="280" w:lineRule="exact"/>
              <w:jc w:val="center"/>
              <w:rPr>
                <w:rFonts w:ascii="仿宋_GB2312" w:hAnsi="仿宋_GB2312" w:eastAsia="仿宋_GB2312" w:cs="仿宋_GB2312"/>
                <w:szCs w:val="21"/>
              </w:rPr>
            </w:pPr>
          </w:p>
        </w:tc>
        <w:tc>
          <w:tcPr>
            <w:tcW w:w="995" w:type="dxa"/>
            <w:vMerge w:val="restart"/>
            <w:vAlign w:val="center"/>
          </w:tcPr>
          <w:p>
            <w:pPr>
              <w:spacing w:line="280" w:lineRule="exact"/>
              <w:jc w:val="center"/>
              <w:rPr>
                <w:rFonts w:ascii="仿宋_GB2312" w:hAnsi="仿宋_GB2312" w:eastAsia="仿宋_GB2312" w:cs="仿宋_GB2312"/>
                <w:szCs w:val="21"/>
              </w:rPr>
            </w:pPr>
            <w:r>
              <w:rPr>
                <w:rFonts w:hint="eastAsia" w:ascii="仿宋_GB2312" w:hAnsi="仿宋_GB2312" w:eastAsia="仿宋_GB2312" w:cs="仿宋_GB2312"/>
                <w:szCs w:val="21"/>
              </w:rPr>
              <w:t>17.促进招生就业创业提质增效。</w:t>
            </w:r>
          </w:p>
        </w:tc>
        <w:tc>
          <w:tcPr>
            <w:tcW w:w="8499" w:type="dxa"/>
            <w:vAlign w:val="center"/>
          </w:tcPr>
          <w:p>
            <w:pPr>
              <w:spacing w:line="300" w:lineRule="exact"/>
              <w:jc w:val="left"/>
              <w:rPr>
                <w:rFonts w:ascii="仿宋_GB2312" w:hAnsi="仿宋_GB2312" w:eastAsia="仿宋_GB2312" w:cs="仿宋_GB2312"/>
                <w:szCs w:val="21"/>
              </w:rPr>
            </w:pPr>
            <w:r>
              <w:rPr>
                <w:rFonts w:hint="eastAsia" w:ascii="仿宋_GB2312" w:hAnsi="仿宋_GB2312" w:eastAsia="仿宋_GB2312" w:cs="仿宋_GB2312"/>
                <w:szCs w:val="21"/>
              </w:rPr>
              <w:t>保证生源规模，提高生源质量，创造性抓好高职扩招工作。</w:t>
            </w:r>
          </w:p>
        </w:tc>
        <w:tc>
          <w:tcPr>
            <w:tcW w:w="1315" w:type="dxa"/>
            <w:vAlign w:val="center"/>
          </w:tcPr>
          <w:p>
            <w:pPr>
              <w:spacing w:line="300" w:lineRule="exact"/>
              <w:jc w:val="center"/>
              <w:rPr>
                <w:rFonts w:ascii="仿宋_GB2312" w:hAnsi="仿宋_GB2312" w:eastAsia="仿宋_GB2312" w:cs="仿宋_GB2312"/>
                <w:szCs w:val="21"/>
              </w:rPr>
            </w:pPr>
            <w:r>
              <w:rPr>
                <w:rFonts w:ascii="仿宋_GB2312" w:hAnsi="仿宋_GB2312" w:eastAsia="仿宋_GB2312" w:cs="仿宋_GB2312"/>
                <w:szCs w:val="21"/>
              </w:rPr>
              <w:t>招生就业处</w:t>
            </w:r>
          </w:p>
        </w:tc>
        <w:tc>
          <w:tcPr>
            <w:tcW w:w="1706" w:type="dxa"/>
            <w:vAlign w:val="center"/>
          </w:tcPr>
          <w:p>
            <w:pPr>
              <w:spacing w:line="240" w:lineRule="exact"/>
              <w:jc w:val="center"/>
              <w:rPr>
                <w:rFonts w:ascii="仿宋_GB2312" w:hAnsi="仿宋_GB2312" w:eastAsia="仿宋_GB2312" w:cs="仿宋_GB2312"/>
                <w:szCs w:val="21"/>
              </w:rPr>
            </w:pPr>
            <w:r>
              <w:rPr>
                <w:rFonts w:ascii="仿宋_GB2312" w:hAnsi="仿宋_GB2312" w:eastAsia="仿宋_GB2312" w:cs="仿宋_GB2312"/>
                <w:szCs w:val="21"/>
              </w:rPr>
              <w:t>各系</w:t>
            </w:r>
          </w:p>
        </w:tc>
        <w:tc>
          <w:tcPr>
            <w:tcW w:w="1138" w:type="dxa"/>
            <w:vAlign w:val="center"/>
          </w:tcPr>
          <w:p>
            <w:pPr>
              <w:spacing w:line="300" w:lineRule="exact"/>
              <w:jc w:val="center"/>
              <w:rPr>
                <w:rFonts w:ascii="仿宋_GB2312" w:hAnsi="仿宋_GB2312" w:eastAsia="仿宋_GB2312" w:cs="仿宋_GB2312"/>
                <w:szCs w:val="21"/>
              </w:rPr>
            </w:pPr>
            <w:r>
              <w:rPr>
                <w:rFonts w:ascii="仿宋_GB2312" w:hAnsi="仿宋_GB2312" w:eastAsia="仿宋_GB2312" w:cs="仿宋_GB2312"/>
                <w:szCs w:val="21"/>
              </w:rPr>
              <w:t>刘春柳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962" w:type="dxa"/>
            <w:vMerge w:val="continue"/>
            <w:vAlign w:val="center"/>
          </w:tcPr>
          <w:p>
            <w:pPr>
              <w:spacing w:line="280" w:lineRule="exact"/>
              <w:jc w:val="center"/>
              <w:rPr>
                <w:rFonts w:ascii="仿宋_GB2312" w:hAnsi="仿宋_GB2312" w:eastAsia="仿宋_GB2312" w:cs="仿宋_GB2312"/>
                <w:szCs w:val="21"/>
              </w:rPr>
            </w:pPr>
          </w:p>
        </w:tc>
        <w:tc>
          <w:tcPr>
            <w:tcW w:w="995" w:type="dxa"/>
            <w:vMerge w:val="continue"/>
            <w:vAlign w:val="center"/>
          </w:tcPr>
          <w:p>
            <w:pPr>
              <w:spacing w:line="280" w:lineRule="exact"/>
              <w:jc w:val="center"/>
              <w:rPr>
                <w:rFonts w:ascii="仿宋_GB2312" w:hAnsi="仿宋_GB2312" w:eastAsia="仿宋_GB2312" w:cs="仿宋_GB2312"/>
                <w:szCs w:val="21"/>
              </w:rPr>
            </w:pPr>
          </w:p>
        </w:tc>
        <w:tc>
          <w:tcPr>
            <w:tcW w:w="8499" w:type="dxa"/>
            <w:vAlign w:val="center"/>
          </w:tcPr>
          <w:p>
            <w:pPr>
              <w:spacing w:line="300" w:lineRule="exact"/>
              <w:jc w:val="left"/>
              <w:rPr>
                <w:rFonts w:ascii="仿宋_GB2312" w:hAnsi="仿宋_GB2312" w:eastAsia="仿宋_GB2312" w:cs="仿宋_GB2312"/>
                <w:szCs w:val="21"/>
              </w:rPr>
            </w:pPr>
            <w:r>
              <w:rPr>
                <w:rFonts w:hint="eastAsia" w:ascii="仿宋_GB2312" w:hAnsi="仿宋_GB2312" w:eastAsia="仿宋_GB2312" w:cs="仿宋_GB2312"/>
                <w:szCs w:val="21"/>
              </w:rPr>
              <w:t>继续落实就业“一把手工程”，实施统筹和规模化顶岗实习，增加本地就业率。加强就业队伍建设和就业教育指导，精细精准帮扶困难群体，深化就业与招生、培养联动机制改革，全力保障毕业生高水平就业。</w:t>
            </w:r>
          </w:p>
        </w:tc>
        <w:tc>
          <w:tcPr>
            <w:tcW w:w="1315" w:type="dxa"/>
            <w:vAlign w:val="center"/>
          </w:tcPr>
          <w:p>
            <w:pPr>
              <w:spacing w:line="300" w:lineRule="exact"/>
              <w:jc w:val="center"/>
              <w:rPr>
                <w:rFonts w:ascii="仿宋_GB2312" w:hAnsi="仿宋_GB2312" w:eastAsia="仿宋_GB2312" w:cs="仿宋_GB2312"/>
                <w:szCs w:val="21"/>
              </w:rPr>
            </w:pPr>
            <w:r>
              <w:rPr>
                <w:rFonts w:ascii="仿宋_GB2312" w:hAnsi="仿宋_GB2312" w:eastAsia="仿宋_GB2312" w:cs="仿宋_GB2312"/>
                <w:szCs w:val="21"/>
              </w:rPr>
              <w:t>招生就业处</w:t>
            </w:r>
          </w:p>
        </w:tc>
        <w:tc>
          <w:tcPr>
            <w:tcW w:w="1706" w:type="dxa"/>
            <w:vAlign w:val="center"/>
          </w:tcPr>
          <w:p>
            <w:pPr>
              <w:spacing w:line="240" w:lineRule="exact"/>
              <w:jc w:val="center"/>
              <w:rPr>
                <w:rFonts w:ascii="仿宋_GB2312" w:hAnsi="仿宋_GB2312" w:eastAsia="仿宋_GB2312" w:cs="仿宋_GB2312"/>
                <w:szCs w:val="21"/>
              </w:rPr>
            </w:pPr>
            <w:r>
              <w:rPr>
                <w:rFonts w:ascii="仿宋_GB2312" w:hAnsi="仿宋_GB2312" w:eastAsia="仿宋_GB2312" w:cs="仿宋_GB2312"/>
                <w:szCs w:val="21"/>
              </w:rPr>
              <w:t>各处室（馆、中心）、系部</w:t>
            </w:r>
          </w:p>
        </w:tc>
        <w:tc>
          <w:tcPr>
            <w:tcW w:w="1138" w:type="dxa"/>
            <w:vAlign w:val="center"/>
          </w:tcPr>
          <w:p>
            <w:pPr>
              <w:spacing w:line="300" w:lineRule="exact"/>
              <w:jc w:val="center"/>
              <w:rPr>
                <w:rFonts w:ascii="仿宋_GB2312" w:hAnsi="仿宋_GB2312" w:eastAsia="仿宋_GB2312" w:cs="仿宋_GB2312"/>
                <w:szCs w:val="21"/>
              </w:rPr>
            </w:pPr>
            <w:r>
              <w:rPr>
                <w:rFonts w:ascii="仿宋_GB2312" w:hAnsi="仿宋_GB2312" w:eastAsia="仿宋_GB2312" w:cs="仿宋_GB2312"/>
                <w:szCs w:val="21"/>
              </w:rPr>
              <w:t>刘春柳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962" w:type="dxa"/>
            <w:vMerge w:val="continue"/>
            <w:vAlign w:val="center"/>
          </w:tcPr>
          <w:p>
            <w:pPr>
              <w:spacing w:line="280" w:lineRule="exact"/>
              <w:jc w:val="center"/>
              <w:rPr>
                <w:rFonts w:ascii="仿宋_GB2312" w:hAnsi="仿宋_GB2312" w:eastAsia="仿宋_GB2312" w:cs="仿宋_GB2312"/>
                <w:szCs w:val="21"/>
              </w:rPr>
            </w:pPr>
          </w:p>
        </w:tc>
        <w:tc>
          <w:tcPr>
            <w:tcW w:w="995" w:type="dxa"/>
            <w:vMerge w:val="continue"/>
            <w:vAlign w:val="center"/>
          </w:tcPr>
          <w:p>
            <w:pPr>
              <w:spacing w:line="280" w:lineRule="exact"/>
              <w:jc w:val="center"/>
              <w:rPr>
                <w:rFonts w:ascii="仿宋_GB2312" w:hAnsi="仿宋_GB2312" w:eastAsia="仿宋_GB2312" w:cs="仿宋_GB2312"/>
                <w:szCs w:val="21"/>
              </w:rPr>
            </w:pPr>
          </w:p>
        </w:tc>
        <w:tc>
          <w:tcPr>
            <w:tcW w:w="8499" w:type="dxa"/>
            <w:vAlign w:val="center"/>
          </w:tcPr>
          <w:p>
            <w:pPr>
              <w:spacing w:line="300" w:lineRule="exact"/>
              <w:jc w:val="left"/>
              <w:rPr>
                <w:rFonts w:ascii="仿宋_GB2312" w:hAnsi="仿宋_GB2312" w:eastAsia="仿宋_GB2312" w:cs="仿宋_GB2312"/>
                <w:spacing w:val="-20"/>
                <w:szCs w:val="21"/>
              </w:rPr>
            </w:pPr>
            <w:r>
              <w:rPr>
                <w:rFonts w:hint="eastAsia" w:ascii="仿宋_GB2312" w:hAnsi="仿宋_GB2312" w:eastAsia="仿宋_GB2312" w:cs="仿宋_GB2312"/>
                <w:spacing w:val="-20"/>
                <w:szCs w:val="21"/>
              </w:rPr>
              <w:t>积极参与农村创业创新带头人培育行动。大学生双创孵化基地孵化企业增至100家，争创国家级众创空间。</w:t>
            </w:r>
          </w:p>
        </w:tc>
        <w:tc>
          <w:tcPr>
            <w:tcW w:w="1315" w:type="dxa"/>
            <w:vAlign w:val="center"/>
          </w:tcPr>
          <w:p>
            <w:pPr>
              <w:spacing w:line="300" w:lineRule="exact"/>
              <w:jc w:val="center"/>
              <w:rPr>
                <w:rFonts w:ascii="仿宋_GB2312" w:hAnsi="仿宋_GB2312" w:eastAsia="仿宋_GB2312" w:cs="仿宋_GB2312"/>
                <w:szCs w:val="21"/>
              </w:rPr>
            </w:pPr>
            <w:r>
              <w:rPr>
                <w:rFonts w:ascii="仿宋_GB2312" w:hAnsi="仿宋_GB2312" w:eastAsia="仿宋_GB2312" w:cs="仿宋_GB2312"/>
                <w:szCs w:val="21"/>
              </w:rPr>
              <w:t>招生就业处</w:t>
            </w:r>
          </w:p>
        </w:tc>
        <w:tc>
          <w:tcPr>
            <w:tcW w:w="1706" w:type="dxa"/>
            <w:vAlign w:val="center"/>
          </w:tcPr>
          <w:p>
            <w:pPr>
              <w:spacing w:line="240" w:lineRule="exact"/>
              <w:jc w:val="center"/>
              <w:rPr>
                <w:rFonts w:ascii="仿宋_GB2312" w:hAnsi="仿宋_GB2312" w:eastAsia="仿宋_GB2312" w:cs="仿宋_GB2312"/>
                <w:szCs w:val="21"/>
              </w:rPr>
            </w:pPr>
          </w:p>
        </w:tc>
        <w:tc>
          <w:tcPr>
            <w:tcW w:w="1138" w:type="dxa"/>
            <w:vAlign w:val="center"/>
          </w:tcPr>
          <w:p>
            <w:pPr>
              <w:spacing w:line="300" w:lineRule="exact"/>
              <w:jc w:val="center"/>
              <w:rPr>
                <w:rFonts w:ascii="仿宋_GB2312" w:hAnsi="仿宋_GB2312" w:eastAsia="仿宋_GB2312" w:cs="仿宋_GB2312"/>
                <w:szCs w:val="21"/>
              </w:rPr>
            </w:pPr>
            <w:r>
              <w:rPr>
                <w:rFonts w:ascii="仿宋_GB2312" w:hAnsi="仿宋_GB2312" w:eastAsia="仿宋_GB2312" w:cs="仿宋_GB2312"/>
                <w:szCs w:val="21"/>
              </w:rPr>
              <w:t>刘春柳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962" w:type="dxa"/>
            <w:vMerge w:val="continue"/>
            <w:vAlign w:val="center"/>
          </w:tcPr>
          <w:p>
            <w:pPr>
              <w:spacing w:line="280" w:lineRule="exact"/>
              <w:jc w:val="center"/>
              <w:rPr>
                <w:rFonts w:ascii="仿宋_GB2312" w:hAnsi="仿宋_GB2312" w:eastAsia="仿宋_GB2312" w:cs="仿宋_GB2312"/>
                <w:szCs w:val="21"/>
              </w:rPr>
            </w:pPr>
          </w:p>
        </w:tc>
        <w:tc>
          <w:tcPr>
            <w:tcW w:w="995" w:type="dxa"/>
            <w:vMerge w:val="restart"/>
            <w:vAlign w:val="center"/>
          </w:tcPr>
          <w:p>
            <w:pPr>
              <w:spacing w:line="280" w:lineRule="exact"/>
              <w:jc w:val="center"/>
              <w:rPr>
                <w:rFonts w:ascii="仿宋_GB2312" w:hAnsi="仿宋_GB2312" w:eastAsia="仿宋_GB2312" w:cs="仿宋_GB2312"/>
                <w:szCs w:val="21"/>
              </w:rPr>
            </w:pPr>
            <w:r>
              <w:rPr>
                <w:rFonts w:hint="eastAsia" w:ascii="仿宋_GB2312" w:hAnsi="仿宋_GB2312" w:eastAsia="仿宋_GB2312" w:cs="仿宋_GB2312"/>
                <w:szCs w:val="21"/>
              </w:rPr>
              <w:t>18.优化内部质保体系。</w:t>
            </w:r>
          </w:p>
        </w:tc>
        <w:tc>
          <w:tcPr>
            <w:tcW w:w="8499" w:type="dxa"/>
            <w:vAlign w:val="center"/>
          </w:tcPr>
          <w:p>
            <w:pPr>
              <w:spacing w:line="300" w:lineRule="exact"/>
              <w:jc w:val="left"/>
              <w:rPr>
                <w:rFonts w:ascii="仿宋_GB2312" w:hAnsi="仿宋_GB2312" w:eastAsia="仿宋_GB2312" w:cs="仿宋_GB2312"/>
                <w:spacing w:val="-18"/>
                <w:szCs w:val="21"/>
              </w:rPr>
            </w:pPr>
            <w:r>
              <w:rPr>
                <w:rFonts w:hint="eastAsia" w:ascii="仿宋_GB2312" w:hAnsi="仿宋_GB2312" w:eastAsia="仿宋_GB2312" w:cs="仿宋_GB2312"/>
                <w:spacing w:val="-18"/>
                <w:szCs w:val="21"/>
              </w:rPr>
              <w:t>围绕产教融合与校企合作、教学改革与专业建设、教师成长与职业发展、学生管理与实习实训、评价改革与质量监控、内部治理等12个专题，完善制度标准，改进工作流程，严格标准实施，强化标准执行。</w:t>
            </w:r>
          </w:p>
        </w:tc>
        <w:tc>
          <w:tcPr>
            <w:tcW w:w="1315" w:type="dxa"/>
            <w:vAlign w:val="center"/>
          </w:tcPr>
          <w:p>
            <w:pPr>
              <w:spacing w:line="300" w:lineRule="exact"/>
              <w:jc w:val="center"/>
              <w:rPr>
                <w:rFonts w:ascii="仿宋_GB2312" w:hAnsi="仿宋_GB2312" w:eastAsia="仿宋_GB2312" w:cs="仿宋_GB2312"/>
                <w:szCs w:val="21"/>
              </w:rPr>
            </w:pPr>
            <w:r>
              <w:rPr>
                <w:rFonts w:ascii="仿宋_GB2312" w:hAnsi="仿宋_GB2312" w:eastAsia="仿宋_GB2312" w:cs="仿宋_GB2312"/>
                <w:szCs w:val="21"/>
              </w:rPr>
              <w:t>质控办</w:t>
            </w:r>
          </w:p>
        </w:tc>
        <w:tc>
          <w:tcPr>
            <w:tcW w:w="1706" w:type="dxa"/>
            <w:vAlign w:val="center"/>
          </w:tcPr>
          <w:p>
            <w:pPr>
              <w:spacing w:line="240" w:lineRule="exact"/>
              <w:jc w:val="center"/>
              <w:rPr>
                <w:rFonts w:ascii="仿宋_GB2312" w:hAnsi="仿宋_GB2312" w:eastAsia="仿宋_GB2312" w:cs="仿宋_GB2312"/>
                <w:szCs w:val="21"/>
              </w:rPr>
            </w:pPr>
            <w:r>
              <w:rPr>
                <w:rFonts w:ascii="仿宋_GB2312" w:hAnsi="仿宋_GB2312" w:eastAsia="仿宋_GB2312" w:cs="仿宋_GB2312"/>
                <w:szCs w:val="21"/>
              </w:rPr>
              <w:t>各处室（馆、中心）</w:t>
            </w:r>
          </w:p>
        </w:tc>
        <w:tc>
          <w:tcPr>
            <w:tcW w:w="1138" w:type="dxa"/>
            <w:vAlign w:val="center"/>
          </w:tcPr>
          <w:p>
            <w:pPr>
              <w:spacing w:line="300" w:lineRule="exact"/>
              <w:jc w:val="center"/>
              <w:rPr>
                <w:rFonts w:ascii="仿宋_GB2312" w:hAnsi="仿宋_GB2312" w:eastAsia="仿宋_GB2312" w:cs="仿宋_GB2312"/>
                <w:szCs w:val="21"/>
              </w:rPr>
            </w:pPr>
            <w:r>
              <w:rPr>
                <w:rFonts w:ascii="仿宋_GB2312" w:hAnsi="仿宋_GB2312" w:eastAsia="仿宋_GB2312" w:cs="仿宋_GB2312"/>
                <w:szCs w:val="21"/>
              </w:rPr>
              <w:t>杨</w:t>
            </w:r>
            <w:r>
              <w:rPr>
                <w:rFonts w:hint="eastAsia" w:ascii="仿宋_GB2312" w:hAnsi="仿宋_GB2312" w:eastAsia="仿宋_GB2312" w:cs="仿宋_GB2312"/>
                <w:szCs w:val="21"/>
              </w:rPr>
              <w:t xml:space="preserve">  </w:t>
            </w:r>
            <w:r>
              <w:rPr>
                <w:rFonts w:ascii="仿宋_GB2312" w:hAnsi="仿宋_GB2312" w:eastAsia="仿宋_GB2312" w:cs="仿宋_GB2312"/>
                <w:szCs w:val="21"/>
              </w:rPr>
              <w:t>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962" w:type="dxa"/>
            <w:vMerge w:val="continue"/>
            <w:vAlign w:val="center"/>
          </w:tcPr>
          <w:p>
            <w:pPr>
              <w:spacing w:line="280" w:lineRule="exact"/>
              <w:jc w:val="center"/>
              <w:rPr>
                <w:rFonts w:ascii="仿宋_GB2312" w:hAnsi="仿宋_GB2312" w:eastAsia="仿宋_GB2312" w:cs="仿宋_GB2312"/>
                <w:szCs w:val="21"/>
              </w:rPr>
            </w:pPr>
          </w:p>
        </w:tc>
        <w:tc>
          <w:tcPr>
            <w:tcW w:w="995" w:type="dxa"/>
            <w:vMerge w:val="continue"/>
            <w:vAlign w:val="center"/>
          </w:tcPr>
          <w:p>
            <w:pPr>
              <w:spacing w:line="280" w:lineRule="exact"/>
              <w:jc w:val="center"/>
              <w:rPr>
                <w:rFonts w:ascii="仿宋_GB2312" w:hAnsi="仿宋_GB2312" w:eastAsia="仿宋_GB2312" w:cs="仿宋_GB2312"/>
                <w:szCs w:val="21"/>
              </w:rPr>
            </w:pPr>
          </w:p>
        </w:tc>
        <w:tc>
          <w:tcPr>
            <w:tcW w:w="8499" w:type="dxa"/>
            <w:vAlign w:val="center"/>
          </w:tcPr>
          <w:p>
            <w:pPr>
              <w:spacing w:line="300" w:lineRule="exact"/>
              <w:jc w:val="left"/>
              <w:rPr>
                <w:rFonts w:ascii="仿宋_GB2312" w:hAnsi="仿宋_GB2312" w:eastAsia="仿宋_GB2312" w:cs="仿宋_GB2312"/>
                <w:szCs w:val="21"/>
              </w:rPr>
            </w:pPr>
            <w:r>
              <w:rPr>
                <w:rFonts w:hint="eastAsia" w:ascii="仿宋_GB2312" w:hAnsi="仿宋_GB2312" w:eastAsia="仿宋_GB2312" w:cs="仿宋_GB2312"/>
                <w:szCs w:val="21"/>
              </w:rPr>
              <w:t>优化内部质保体系诊断与改进机制、教学质量督导评价机制，将质量文化和要求内化为全院师生的共同价值追求和自觉行为。</w:t>
            </w:r>
          </w:p>
        </w:tc>
        <w:tc>
          <w:tcPr>
            <w:tcW w:w="1315" w:type="dxa"/>
            <w:vAlign w:val="center"/>
          </w:tcPr>
          <w:p>
            <w:pPr>
              <w:spacing w:line="300" w:lineRule="exact"/>
              <w:jc w:val="center"/>
              <w:rPr>
                <w:rFonts w:ascii="仿宋_GB2312" w:hAnsi="仿宋_GB2312" w:eastAsia="仿宋_GB2312" w:cs="仿宋_GB2312"/>
                <w:szCs w:val="21"/>
              </w:rPr>
            </w:pPr>
            <w:r>
              <w:rPr>
                <w:rFonts w:ascii="仿宋_GB2312" w:hAnsi="仿宋_GB2312" w:eastAsia="仿宋_GB2312" w:cs="仿宋_GB2312"/>
                <w:szCs w:val="21"/>
              </w:rPr>
              <w:t>质控办</w:t>
            </w:r>
          </w:p>
        </w:tc>
        <w:tc>
          <w:tcPr>
            <w:tcW w:w="1706" w:type="dxa"/>
            <w:vAlign w:val="center"/>
          </w:tcPr>
          <w:p>
            <w:pPr>
              <w:spacing w:line="240" w:lineRule="exact"/>
              <w:jc w:val="center"/>
              <w:rPr>
                <w:rFonts w:ascii="仿宋_GB2312" w:hAnsi="仿宋_GB2312" w:eastAsia="仿宋_GB2312" w:cs="仿宋_GB2312"/>
                <w:szCs w:val="21"/>
              </w:rPr>
            </w:pPr>
            <w:r>
              <w:rPr>
                <w:rFonts w:ascii="仿宋_GB2312" w:hAnsi="仿宋_GB2312" w:eastAsia="仿宋_GB2312" w:cs="仿宋_GB2312"/>
                <w:szCs w:val="21"/>
              </w:rPr>
              <w:t>各处室（馆、中心）、系部</w:t>
            </w:r>
          </w:p>
        </w:tc>
        <w:tc>
          <w:tcPr>
            <w:tcW w:w="1138" w:type="dxa"/>
            <w:vAlign w:val="center"/>
          </w:tcPr>
          <w:p>
            <w:pPr>
              <w:spacing w:line="300" w:lineRule="exact"/>
              <w:jc w:val="center"/>
              <w:rPr>
                <w:rFonts w:ascii="仿宋_GB2312" w:hAnsi="仿宋_GB2312" w:eastAsia="仿宋_GB2312" w:cs="仿宋_GB2312"/>
                <w:szCs w:val="21"/>
              </w:rPr>
            </w:pPr>
            <w:r>
              <w:rPr>
                <w:rFonts w:ascii="仿宋_GB2312" w:hAnsi="仿宋_GB2312" w:eastAsia="仿宋_GB2312" w:cs="仿宋_GB2312"/>
                <w:szCs w:val="21"/>
              </w:rPr>
              <w:t>杨</w:t>
            </w:r>
            <w:r>
              <w:rPr>
                <w:rFonts w:hint="eastAsia" w:ascii="仿宋_GB2312" w:hAnsi="仿宋_GB2312" w:eastAsia="仿宋_GB2312" w:cs="仿宋_GB2312"/>
                <w:szCs w:val="21"/>
              </w:rPr>
              <w:t xml:space="preserve">  </w:t>
            </w:r>
            <w:r>
              <w:rPr>
                <w:rFonts w:ascii="仿宋_GB2312" w:hAnsi="仿宋_GB2312" w:eastAsia="仿宋_GB2312" w:cs="仿宋_GB2312"/>
                <w:szCs w:val="21"/>
              </w:rPr>
              <w:t>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962" w:type="dxa"/>
            <w:vMerge w:val="continue"/>
            <w:vAlign w:val="center"/>
          </w:tcPr>
          <w:p>
            <w:pPr>
              <w:spacing w:line="280" w:lineRule="exact"/>
              <w:jc w:val="center"/>
              <w:rPr>
                <w:rFonts w:ascii="仿宋_GB2312" w:hAnsi="仿宋_GB2312" w:eastAsia="仿宋_GB2312" w:cs="仿宋_GB2312"/>
                <w:szCs w:val="21"/>
              </w:rPr>
            </w:pPr>
          </w:p>
        </w:tc>
        <w:tc>
          <w:tcPr>
            <w:tcW w:w="995" w:type="dxa"/>
            <w:vMerge w:val="continue"/>
            <w:vAlign w:val="center"/>
          </w:tcPr>
          <w:p>
            <w:pPr>
              <w:spacing w:line="280" w:lineRule="exact"/>
              <w:jc w:val="center"/>
              <w:rPr>
                <w:rFonts w:ascii="仿宋_GB2312" w:hAnsi="仿宋_GB2312" w:eastAsia="仿宋_GB2312" w:cs="仿宋_GB2312"/>
                <w:szCs w:val="21"/>
              </w:rPr>
            </w:pPr>
          </w:p>
        </w:tc>
        <w:tc>
          <w:tcPr>
            <w:tcW w:w="8499" w:type="dxa"/>
            <w:vAlign w:val="center"/>
          </w:tcPr>
          <w:p>
            <w:pPr>
              <w:spacing w:line="300" w:lineRule="exact"/>
              <w:jc w:val="left"/>
              <w:rPr>
                <w:rFonts w:ascii="仿宋_GB2312" w:hAnsi="仿宋_GB2312" w:eastAsia="仿宋_GB2312" w:cs="仿宋_GB2312"/>
                <w:szCs w:val="21"/>
              </w:rPr>
            </w:pPr>
            <w:r>
              <w:rPr>
                <w:rFonts w:hint="eastAsia" w:ascii="仿宋_GB2312" w:hAnsi="仿宋_GB2312" w:eastAsia="仿宋_GB2312" w:cs="仿宋_GB2312"/>
                <w:szCs w:val="21"/>
              </w:rPr>
              <w:t>加强人才培养质量报告、适应社会需求能力报告、高基报表与人才培养工作状态数据平台相关数据的统一管理。</w:t>
            </w:r>
          </w:p>
        </w:tc>
        <w:tc>
          <w:tcPr>
            <w:tcW w:w="1315" w:type="dxa"/>
            <w:vAlign w:val="center"/>
          </w:tcPr>
          <w:p>
            <w:pPr>
              <w:spacing w:line="300" w:lineRule="exact"/>
              <w:jc w:val="center"/>
              <w:rPr>
                <w:rFonts w:ascii="仿宋_GB2312" w:hAnsi="仿宋_GB2312" w:eastAsia="仿宋_GB2312" w:cs="仿宋_GB2312"/>
                <w:szCs w:val="21"/>
              </w:rPr>
            </w:pPr>
            <w:r>
              <w:rPr>
                <w:rFonts w:ascii="仿宋_GB2312" w:hAnsi="仿宋_GB2312" w:eastAsia="仿宋_GB2312" w:cs="仿宋_GB2312"/>
                <w:szCs w:val="21"/>
              </w:rPr>
              <w:t>质控办</w:t>
            </w:r>
          </w:p>
        </w:tc>
        <w:tc>
          <w:tcPr>
            <w:tcW w:w="1706" w:type="dxa"/>
            <w:vAlign w:val="center"/>
          </w:tcPr>
          <w:p>
            <w:pPr>
              <w:spacing w:line="240" w:lineRule="exact"/>
              <w:jc w:val="center"/>
              <w:rPr>
                <w:rFonts w:ascii="仿宋_GB2312" w:hAnsi="仿宋_GB2312" w:eastAsia="仿宋_GB2312" w:cs="仿宋_GB2312"/>
                <w:szCs w:val="21"/>
              </w:rPr>
            </w:pPr>
            <w:r>
              <w:rPr>
                <w:rFonts w:ascii="仿宋_GB2312" w:hAnsi="仿宋_GB2312" w:eastAsia="仿宋_GB2312" w:cs="仿宋_GB2312"/>
                <w:szCs w:val="21"/>
              </w:rPr>
              <w:t>教务处、</w:t>
            </w:r>
          </w:p>
          <w:p>
            <w:pPr>
              <w:spacing w:line="240" w:lineRule="exact"/>
              <w:jc w:val="center"/>
              <w:rPr>
                <w:rFonts w:ascii="仿宋_GB2312" w:hAnsi="仿宋_GB2312" w:eastAsia="仿宋_GB2312" w:cs="仿宋_GB2312"/>
                <w:szCs w:val="21"/>
              </w:rPr>
            </w:pPr>
            <w:r>
              <w:rPr>
                <w:rFonts w:ascii="仿宋_GB2312" w:hAnsi="仿宋_GB2312" w:eastAsia="仿宋_GB2312" w:cs="仿宋_GB2312"/>
                <w:szCs w:val="21"/>
              </w:rPr>
              <w:t>财务资产处</w:t>
            </w:r>
          </w:p>
        </w:tc>
        <w:tc>
          <w:tcPr>
            <w:tcW w:w="1138" w:type="dxa"/>
            <w:vAlign w:val="center"/>
          </w:tcPr>
          <w:p>
            <w:pPr>
              <w:spacing w:line="300" w:lineRule="exact"/>
              <w:jc w:val="center"/>
              <w:rPr>
                <w:rFonts w:ascii="仿宋_GB2312" w:hAnsi="仿宋_GB2312" w:eastAsia="仿宋_GB2312" w:cs="仿宋_GB2312"/>
                <w:szCs w:val="21"/>
              </w:rPr>
            </w:pPr>
            <w:r>
              <w:rPr>
                <w:rFonts w:ascii="仿宋_GB2312" w:hAnsi="仿宋_GB2312" w:eastAsia="仿宋_GB2312" w:cs="仿宋_GB2312"/>
                <w:szCs w:val="21"/>
              </w:rPr>
              <w:t>杨</w:t>
            </w:r>
            <w:r>
              <w:rPr>
                <w:rFonts w:hint="eastAsia" w:ascii="仿宋_GB2312" w:hAnsi="仿宋_GB2312" w:eastAsia="仿宋_GB2312" w:cs="仿宋_GB2312"/>
                <w:szCs w:val="21"/>
              </w:rPr>
              <w:t xml:space="preserve">  </w:t>
            </w:r>
            <w:r>
              <w:rPr>
                <w:rFonts w:ascii="仿宋_GB2312" w:hAnsi="仿宋_GB2312" w:eastAsia="仿宋_GB2312" w:cs="仿宋_GB2312"/>
                <w:szCs w:val="21"/>
              </w:rPr>
              <w:t>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962" w:type="dxa"/>
            <w:vMerge w:val="continue"/>
            <w:vAlign w:val="center"/>
          </w:tcPr>
          <w:p>
            <w:pPr>
              <w:spacing w:line="280" w:lineRule="exact"/>
              <w:jc w:val="center"/>
              <w:rPr>
                <w:rFonts w:ascii="仿宋_GB2312" w:hAnsi="仿宋_GB2312" w:eastAsia="仿宋_GB2312" w:cs="仿宋_GB2312"/>
                <w:szCs w:val="21"/>
              </w:rPr>
            </w:pPr>
          </w:p>
        </w:tc>
        <w:tc>
          <w:tcPr>
            <w:tcW w:w="995" w:type="dxa"/>
            <w:vMerge w:val="continue"/>
            <w:vAlign w:val="center"/>
          </w:tcPr>
          <w:p>
            <w:pPr>
              <w:spacing w:line="280" w:lineRule="exact"/>
              <w:jc w:val="center"/>
              <w:rPr>
                <w:rFonts w:ascii="仿宋_GB2312" w:hAnsi="仿宋_GB2312" w:eastAsia="仿宋_GB2312" w:cs="仿宋_GB2312"/>
                <w:szCs w:val="21"/>
              </w:rPr>
            </w:pPr>
          </w:p>
        </w:tc>
        <w:tc>
          <w:tcPr>
            <w:tcW w:w="8499" w:type="dxa"/>
            <w:vAlign w:val="center"/>
          </w:tcPr>
          <w:p>
            <w:pPr>
              <w:spacing w:line="300" w:lineRule="exact"/>
              <w:jc w:val="left"/>
              <w:rPr>
                <w:rFonts w:ascii="仿宋_GB2312" w:hAnsi="仿宋_GB2312" w:eastAsia="仿宋_GB2312" w:cs="仿宋_GB2312"/>
                <w:szCs w:val="21"/>
              </w:rPr>
            </w:pPr>
            <w:r>
              <w:rPr>
                <w:rFonts w:hint="eastAsia" w:ascii="仿宋_GB2312" w:hAnsi="仿宋_GB2312" w:eastAsia="仿宋_GB2312" w:cs="仿宋_GB2312"/>
                <w:szCs w:val="21"/>
              </w:rPr>
              <w:t>认真分析2020年度办学质量考核结果，深入开展“强弱项、补短板”专项行动，实现2021年度办学质量考核新突破。。</w:t>
            </w:r>
          </w:p>
        </w:tc>
        <w:tc>
          <w:tcPr>
            <w:tcW w:w="1315" w:type="dxa"/>
            <w:vAlign w:val="center"/>
          </w:tcPr>
          <w:p>
            <w:pPr>
              <w:spacing w:line="300" w:lineRule="exact"/>
              <w:jc w:val="center"/>
              <w:rPr>
                <w:rFonts w:ascii="仿宋_GB2312" w:hAnsi="仿宋_GB2312" w:eastAsia="仿宋_GB2312" w:cs="仿宋_GB2312"/>
                <w:szCs w:val="21"/>
              </w:rPr>
            </w:pPr>
            <w:r>
              <w:rPr>
                <w:rFonts w:ascii="仿宋_GB2312" w:hAnsi="仿宋_GB2312" w:eastAsia="仿宋_GB2312" w:cs="仿宋_GB2312"/>
                <w:szCs w:val="21"/>
              </w:rPr>
              <w:t>质控办</w:t>
            </w:r>
          </w:p>
        </w:tc>
        <w:tc>
          <w:tcPr>
            <w:tcW w:w="1706" w:type="dxa"/>
            <w:vAlign w:val="center"/>
          </w:tcPr>
          <w:p>
            <w:pPr>
              <w:spacing w:line="240" w:lineRule="exact"/>
              <w:jc w:val="center"/>
              <w:rPr>
                <w:rFonts w:ascii="仿宋_GB2312" w:hAnsi="仿宋_GB2312" w:eastAsia="仿宋_GB2312" w:cs="仿宋_GB2312"/>
                <w:szCs w:val="21"/>
              </w:rPr>
            </w:pPr>
            <w:r>
              <w:rPr>
                <w:rFonts w:ascii="仿宋_GB2312" w:hAnsi="仿宋_GB2312" w:eastAsia="仿宋_GB2312" w:cs="仿宋_GB2312"/>
                <w:szCs w:val="21"/>
              </w:rPr>
              <w:t>各处室（馆、中心）、系部</w:t>
            </w:r>
          </w:p>
        </w:tc>
        <w:tc>
          <w:tcPr>
            <w:tcW w:w="1138" w:type="dxa"/>
            <w:vAlign w:val="center"/>
          </w:tcPr>
          <w:p>
            <w:pPr>
              <w:spacing w:line="300" w:lineRule="exact"/>
              <w:jc w:val="center"/>
              <w:rPr>
                <w:rFonts w:ascii="仿宋_GB2312" w:hAnsi="仿宋_GB2312" w:eastAsia="仿宋_GB2312" w:cs="仿宋_GB2312"/>
                <w:szCs w:val="21"/>
              </w:rPr>
            </w:pPr>
            <w:r>
              <w:rPr>
                <w:rFonts w:ascii="仿宋_GB2312" w:hAnsi="仿宋_GB2312" w:eastAsia="仿宋_GB2312" w:cs="仿宋_GB2312"/>
                <w:szCs w:val="21"/>
              </w:rPr>
              <w:t>杨</w:t>
            </w:r>
            <w:r>
              <w:rPr>
                <w:rFonts w:hint="eastAsia" w:ascii="仿宋_GB2312" w:hAnsi="仿宋_GB2312" w:eastAsia="仿宋_GB2312" w:cs="仿宋_GB2312"/>
                <w:szCs w:val="21"/>
              </w:rPr>
              <w:t xml:space="preserve">  </w:t>
            </w:r>
            <w:r>
              <w:rPr>
                <w:rFonts w:ascii="仿宋_GB2312" w:hAnsi="仿宋_GB2312" w:eastAsia="仿宋_GB2312" w:cs="仿宋_GB2312"/>
                <w:szCs w:val="21"/>
              </w:rPr>
              <w:t>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trPr>
        <w:tc>
          <w:tcPr>
            <w:tcW w:w="962" w:type="dxa"/>
            <w:vMerge w:val="continue"/>
            <w:vAlign w:val="center"/>
          </w:tcPr>
          <w:p>
            <w:pPr>
              <w:spacing w:line="280" w:lineRule="exact"/>
              <w:jc w:val="center"/>
              <w:rPr>
                <w:rFonts w:ascii="仿宋_GB2312" w:hAnsi="仿宋_GB2312" w:eastAsia="仿宋_GB2312" w:cs="仿宋_GB2312"/>
                <w:szCs w:val="21"/>
              </w:rPr>
            </w:pPr>
          </w:p>
        </w:tc>
        <w:tc>
          <w:tcPr>
            <w:tcW w:w="995" w:type="dxa"/>
            <w:vMerge w:val="restart"/>
            <w:vAlign w:val="center"/>
          </w:tcPr>
          <w:p>
            <w:pPr>
              <w:spacing w:line="280" w:lineRule="exact"/>
              <w:jc w:val="center"/>
              <w:rPr>
                <w:rFonts w:ascii="仿宋_GB2312" w:hAnsi="仿宋_GB2312" w:eastAsia="仿宋_GB2312" w:cs="仿宋_GB2312"/>
                <w:szCs w:val="21"/>
              </w:rPr>
            </w:pPr>
            <w:r>
              <w:rPr>
                <w:rFonts w:hint="eastAsia" w:ascii="仿宋_GB2312" w:hAnsi="仿宋_GB2312" w:eastAsia="仿宋_GB2312" w:cs="仿宋_GB2312"/>
                <w:szCs w:val="21"/>
              </w:rPr>
              <w:t>19.完善现代大学治理体系。</w:t>
            </w:r>
          </w:p>
        </w:tc>
        <w:tc>
          <w:tcPr>
            <w:tcW w:w="8499" w:type="dxa"/>
            <w:vAlign w:val="center"/>
          </w:tcPr>
          <w:p>
            <w:pPr>
              <w:spacing w:line="300" w:lineRule="exact"/>
              <w:jc w:val="left"/>
              <w:rPr>
                <w:rFonts w:ascii="仿宋_GB2312" w:hAnsi="仿宋_GB2312" w:eastAsia="仿宋_GB2312" w:cs="仿宋_GB2312"/>
                <w:szCs w:val="21"/>
              </w:rPr>
            </w:pPr>
            <w:r>
              <w:rPr>
                <w:rFonts w:hint="eastAsia" w:ascii="仿宋_GB2312" w:hAnsi="仿宋_GB2312" w:eastAsia="仿宋_GB2312" w:cs="仿宋_GB2312"/>
                <w:szCs w:val="21"/>
              </w:rPr>
              <w:t>分层分类推进制度修订。</w:t>
            </w:r>
          </w:p>
        </w:tc>
        <w:tc>
          <w:tcPr>
            <w:tcW w:w="1315" w:type="dxa"/>
            <w:vAlign w:val="center"/>
          </w:tcPr>
          <w:p>
            <w:pPr>
              <w:spacing w:line="300" w:lineRule="exact"/>
              <w:jc w:val="center"/>
              <w:rPr>
                <w:rFonts w:ascii="仿宋_GB2312" w:hAnsi="仿宋_GB2312" w:eastAsia="仿宋_GB2312" w:cs="仿宋_GB2312"/>
                <w:szCs w:val="21"/>
              </w:rPr>
            </w:pPr>
            <w:r>
              <w:rPr>
                <w:rFonts w:ascii="仿宋_GB2312" w:hAnsi="仿宋_GB2312" w:eastAsia="仿宋_GB2312" w:cs="仿宋_GB2312"/>
                <w:szCs w:val="21"/>
              </w:rPr>
              <w:t>组织人事处</w:t>
            </w:r>
          </w:p>
        </w:tc>
        <w:tc>
          <w:tcPr>
            <w:tcW w:w="1706" w:type="dxa"/>
            <w:vAlign w:val="center"/>
          </w:tcPr>
          <w:p>
            <w:pPr>
              <w:spacing w:line="240" w:lineRule="exact"/>
              <w:jc w:val="center"/>
              <w:rPr>
                <w:rFonts w:ascii="仿宋_GB2312" w:hAnsi="仿宋_GB2312" w:eastAsia="仿宋_GB2312" w:cs="仿宋_GB2312"/>
                <w:szCs w:val="21"/>
              </w:rPr>
            </w:pPr>
            <w:r>
              <w:rPr>
                <w:rFonts w:ascii="仿宋_GB2312" w:hAnsi="仿宋_GB2312" w:eastAsia="仿宋_GB2312" w:cs="仿宋_GB2312"/>
                <w:szCs w:val="21"/>
              </w:rPr>
              <w:t>党政办</w:t>
            </w:r>
          </w:p>
        </w:tc>
        <w:tc>
          <w:tcPr>
            <w:tcW w:w="1138" w:type="dxa"/>
            <w:vAlign w:val="center"/>
          </w:tcPr>
          <w:p>
            <w:pPr>
              <w:spacing w:line="300" w:lineRule="exact"/>
              <w:jc w:val="center"/>
              <w:rPr>
                <w:rFonts w:ascii="仿宋_GB2312" w:hAnsi="仿宋_GB2312" w:eastAsia="仿宋_GB2312" w:cs="仿宋_GB2312"/>
                <w:szCs w:val="21"/>
              </w:rPr>
            </w:pPr>
            <w:r>
              <w:rPr>
                <w:rFonts w:ascii="仿宋_GB2312" w:hAnsi="仿宋_GB2312" w:eastAsia="仿宋_GB2312" w:cs="仿宋_GB2312"/>
                <w:szCs w:val="21"/>
              </w:rPr>
              <w:t>王军强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962" w:type="dxa"/>
            <w:vMerge w:val="continue"/>
            <w:vAlign w:val="center"/>
          </w:tcPr>
          <w:p>
            <w:pPr>
              <w:spacing w:line="280" w:lineRule="exact"/>
              <w:jc w:val="center"/>
              <w:rPr>
                <w:rFonts w:ascii="仿宋_GB2312" w:hAnsi="仿宋_GB2312" w:eastAsia="仿宋_GB2312" w:cs="仿宋_GB2312"/>
                <w:szCs w:val="21"/>
              </w:rPr>
            </w:pPr>
          </w:p>
        </w:tc>
        <w:tc>
          <w:tcPr>
            <w:tcW w:w="995" w:type="dxa"/>
            <w:vMerge w:val="continue"/>
            <w:vAlign w:val="center"/>
          </w:tcPr>
          <w:p>
            <w:pPr>
              <w:spacing w:line="280" w:lineRule="exact"/>
              <w:jc w:val="center"/>
              <w:rPr>
                <w:rFonts w:ascii="仿宋_GB2312" w:hAnsi="仿宋_GB2312" w:eastAsia="仿宋_GB2312" w:cs="仿宋_GB2312"/>
                <w:szCs w:val="21"/>
              </w:rPr>
            </w:pPr>
          </w:p>
        </w:tc>
        <w:tc>
          <w:tcPr>
            <w:tcW w:w="8499" w:type="dxa"/>
            <w:vAlign w:val="center"/>
          </w:tcPr>
          <w:p>
            <w:pPr>
              <w:spacing w:line="300" w:lineRule="exact"/>
              <w:jc w:val="left"/>
              <w:rPr>
                <w:rFonts w:ascii="仿宋_GB2312" w:hAnsi="仿宋_GB2312" w:eastAsia="仿宋_GB2312" w:cs="仿宋_GB2312"/>
                <w:szCs w:val="21"/>
              </w:rPr>
            </w:pPr>
            <w:r>
              <w:rPr>
                <w:rFonts w:hint="eastAsia" w:ascii="仿宋_GB2312" w:hAnsi="仿宋_GB2312" w:eastAsia="仿宋_GB2312" w:cs="仿宋_GB2312"/>
                <w:szCs w:val="21"/>
              </w:rPr>
              <w:t>完善学院理事会功能与职能。</w:t>
            </w:r>
          </w:p>
        </w:tc>
        <w:tc>
          <w:tcPr>
            <w:tcW w:w="1315" w:type="dxa"/>
            <w:vAlign w:val="center"/>
          </w:tcPr>
          <w:p>
            <w:pPr>
              <w:spacing w:line="300" w:lineRule="exact"/>
              <w:jc w:val="center"/>
              <w:rPr>
                <w:rFonts w:ascii="仿宋_GB2312" w:hAnsi="仿宋_GB2312" w:eastAsia="仿宋_GB2312" w:cs="仿宋_GB2312"/>
                <w:szCs w:val="21"/>
              </w:rPr>
            </w:pPr>
            <w:r>
              <w:rPr>
                <w:rFonts w:ascii="仿宋_GB2312" w:hAnsi="仿宋_GB2312" w:eastAsia="仿宋_GB2312" w:cs="仿宋_GB2312"/>
                <w:szCs w:val="21"/>
              </w:rPr>
              <w:t>对外合作处</w:t>
            </w:r>
          </w:p>
        </w:tc>
        <w:tc>
          <w:tcPr>
            <w:tcW w:w="1706" w:type="dxa"/>
            <w:vAlign w:val="center"/>
          </w:tcPr>
          <w:p>
            <w:pPr>
              <w:spacing w:line="240" w:lineRule="exact"/>
              <w:jc w:val="center"/>
              <w:rPr>
                <w:rFonts w:ascii="仿宋_GB2312" w:hAnsi="仿宋_GB2312" w:eastAsia="仿宋_GB2312" w:cs="仿宋_GB2312"/>
                <w:szCs w:val="21"/>
              </w:rPr>
            </w:pPr>
          </w:p>
        </w:tc>
        <w:tc>
          <w:tcPr>
            <w:tcW w:w="1138" w:type="dxa"/>
            <w:vAlign w:val="center"/>
          </w:tcPr>
          <w:p>
            <w:pPr>
              <w:spacing w:line="300" w:lineRule="exact"/>
              <w:jc w:val="center"/>
              <w:rPr>
                <w:rFonts w:ascii="仿宋_GB2312" w:hAnsi="仿宋_GB2312" w:eastAsia="仿宋_GB2312" w:cs="仿宋_GB2312"/>
                <w:szCs w:val="21"/>
              </w:rPr>
            </w:pPr>
            <w:r>
              <w:rPr>
                <w:rFonts w:ascii="仿宋_GB2312" w:hAnsi="仿宋_GB2312" w:eastAsia="仿宋_GB2312" w:cs="仿宋_GB2312"/>
                <w:szCs w:val="21"/>
              </w:rPr>
              <w:t>侯仕营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trPr>
        <w:tc>
          <w:tcPr>
            <w:tcW w:w="962" w:type="dxa"/>
            <w:vMerge w:val="continue"/>
            <w:vAlign w:val="center"/>
          </w:tcPr>
          <w:p>
            <w:pPr>
              <w:spacing w:line="280" w:lineRule="exact"/>
              <w:jc w:val="center"/>
              <w:rPr>
                <w:rFonts w:ascii="仿宋_GB2312" w:hAnsi="仿宋_GB2312" w:eastAsia="仿宋_GB2312" w:cs="仿宋_GB2312"/>
                <w:szCs w:val="21"/>
              </w:rPr>
            </w:pPr>
          </w:p>
        </w:tc>
        <w:tc>
          <w:tcPr>
            <w:tcW w:w="995" w:type="dxa"/>
            <w:vMerge w:val="continue"/>
            <w:vAlign w:val="center"/>
          </w:tcPr>
          <w:p>
            <w:pPr>
              <w:spacing w:line="280" w:lineRule="exact"/>
              <w:jc w:val="center"/>
              <w:rPr>
                <w:rFonts w:ascii="仿宋_GB2312" w:hAnsi="仿宋_GB2312" w:eastAsia="仿宋_GB2312" w:cs="仿宋_GB2312"/>
                <w:szCs w:val="21"/>
              </w:rPr>
            </w:pPr>
          </w:p>
        </w:tc>
        <w:tc>
          <w:tcPr>
            <w:tcW w:w="8499" w:type="dxa"/>
            <w:vAlign w:val="center"/>
          </w:tcPr>
          <w:p>
            <w:pPr>
              <w:spacing w:line="300" w:lineRule="exact"/>
              <w:jc w:val="left"/>
              <w:rPr>
                <w:rFonts w:ascii="仿宋_GB2312" w:hAnsi="仿宋_GB2312" w:eastAsia="仿宋_GB2312" w:cs="仿宋_GB2312"/>
                <w:szCs w:val="21"/>
              </w:rPr>
            </w:pPr>
            <w:r>
              <w:rPr>
                <w:rFonts w:hint="eastAsia" w:ascii="仿宋_GB2312" w:hAnsi="仿宋_GB2312" w:eastAsia="仿宋_GB2312" w:cs="仿宋_GB2312"/>
                <w:szCs w:val="21"/>
              </w:rPr>
              <w:t>完善学术委员会、教育教学委员会的功能与职能。</w:t>
            </w:r>
          </w:p>
        </w:tc>
        <w:tc>
          <w:tcPr>
            <w:tcW w:w="1315" w:type="dxa"/>
            <w:vAlign w:val="center"/>
          </w:tcPr>
          <w:p>
            <w:pPr>
              <w:spacing w:line="300" w:lineRule="exact"/>
              <w:jc w:val="center"/>
              <w:rPr>
                <w:rFonts w:ascii="仿宋_GB2312" w:hAnsi="仿宋_GB2312" w:eastAsia="仿宋_GB2312" w:cs="仿宋_GB2312"/>
                <w:szCs w:val="21"/>
              </w:rPr>
            </w:pPr>
            <w:r>
              <w:rPr>
                <w:rFonts w:ascii="仿宋_GB2312" w:hAnsi="仿宋_GB2312" w:eastAsia="仿宋_GB2312" w:cs="仿宋_GB2312"/>
                <w:szCs w:val="21"/>
              </w:rPr>
              <w:t>教务处</w:t>
            </w:r>
          </w:p>
        </w:tc>
        <w:tc>
          <w:tcPr>
            <w:tcW w:w="1706" w:type="dxa"/>
            <w:vAlign w:val="center"/>
          </w:tcPr>
          <w:p>
            <w:pPr>
              <w:spacing w:line="240" w:lineRule="exact"/>
              <w:jc w:val="center"/>
              <w:rPr>
                <w:rFonts w:ascii="仿宋_GB2312" w:hAnsi="仿宋_GB2312" w:eastAsia="仿宋_GB2312" w:cs="仿宋_GB2312"/>
                <w:szCs w:val="21"/>
              </w:rPr>
            </w:pPr>
          </w:p>
        </w:tc>
        <w:tc>
          <w:tcPr>
            <w:tcW w:w="1138" w:type="dxa"/>
            <w:vAlign w:val="center"/>
          </w:tcPr>
          <w:p>
            <w:pPr>
              <w:spacing w:line="300" w:lineRule="exact"/>
              <w:jc w:val="center"/>
              <w:rPr>
                <w:rFonts w:ascii="仿宋_GB2312" w:hAnsi="仿宋_GB2312" w:eastAsia="仿宋_GB2312" w:cs="仿宋_GB2312"/>
                <w:szCs w:val="21"/>
              </w:rPr>
            </w:pPr>
            <w:r>
              <w:rPr>
                <w:rFonts w:ascii="仿宋_GB2312" w:hAnsi="仿宋_GB2312" w:eastAsia="仿宋_GB2312" w:cs="仿宋_GB2312"/>
                <w:szCs w:val="21"/>
              </w:rPr>
              <w:t>于春晓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962" w:type="dxa"/>
            <w:vMerge w:val="continue"/>
            <w:vAlign w:val="center"/>
          </w:tcPr>
          <w:p>
            <w:pPr>
              <w:spacing w:line="280" w:lineRule="exact"/>
              <w:jc w:val="center"/>
              <w:rPr>
                <w:rFonts w:ascii="仿宋_GB2312" w:hAnsi="仿宋_GB2312" w:eastAsia="仿宋_GB2312" w:cs="仿宋_GB2312"/>
                <w:szCs w:val="21"/>
              </w:rPr>
            </w:pPr>
          </w:p>
        </w:tc>
        <w:tc>
          <w:tcPr>
            <w:tcW w:w="995" w:type="dxa"/>
            <w:vMerge w:val="continue"/>
            <w:vAlign w:val="center"/>
          </w:tcPr>
          <w:p>
            <w:pPr>
              <w:spacing w:line="280" w:lineRule="exact"/>
              <w:jc w:val="center"/>
              <w:rPr>
                <w:rFonts w:ascii="仿宋_GB2312" w:hAnsi="仿宋_GB2312" w:eastAsia="仿宋_GB2312" w:cs="仿宋_GB2312"/>
                <w:szCs w:val="21"/>
              </w:rPr>
            </w:pPr>
          </w:p>
        </w:tc>
        <w:tc>
          <w:tcPr>
            <w:tcW w:w="8499" w:type="dxa"/>
            <w:vAlign w:val="center"/>
          </w:tcPr>
          <w:p>
            <w:pPr>
              <w:spacing w:line="300" w:lineRule="exact"/>
              <w:jc w:val="left"/>
              <w:rPr>
                <w:rFonts w:ascii="仿宋_GB2312" w:hAnsi="仿宋_GB2312" w:eastAsia="仿宋_GB2312" w:cs="仿宋_GB2312"/>
                <w:szCs w:val="21"/>
              </w:rPr>
            </w:pPr>
            <w:r>
              <w:rPr>
                <w:rFonts w:hint="eastAsia" w:ascii="仿宋_GB2312" w:hAnsi="仿宋_GB2312" w:eastAsia="仿宋_GB2312" w:cs="仿宋_GB2312"/>
                <w:szCs w:val="21"/>
              </w:rPr>
              <w:t>完善以专业群建设运行为中心的校、院二级管理体系和组织架构。</w:t>
            </w:r>
          </w:p>
        </w:tc>
        <w:tc>
          <w:tcPr>
            <w:tcW w:w="1315" w:type="dxa"/>
            <w:vAlign w:val="center"/>
          </w:tcPr>
          <w:p>
            <w:pPr>
              <w:spacing w:line="300" w:lineRule="exact"/>
              <w:jc w:val="center"/>
              <w:rPr>
                <w:rFonts w:ascii="仿宋_GB2312" w:hAnsi="仿宋_GB2312" w:eastAsia="仿宋_GB2312" w:cs="仿宋_GB2312"/>
                <w:szCs w:val="21"/>
              </w:rPr>
            </w:pPr>
            <w:r>
              <w:rPr>
                <w:rFonts w:ascii="仿宋_GB2312" w:hAnsi="仿宋_GB2312" w:eastAsia="仿宋_GB2312" w:cs="仿宋_GB2312"/>
                <w:szCs w:val="21"/>
              </w:rPr>
              <w:t>组织人事处</w:t>
            </w:r>
          </w:p>
        </w:tc>
        <w:tc>
          <w:tcPr>
            <w:tcW w:w="1706" w:type="dxa"/>
            <w:vAlign w:val="center"/>
          </w:tcPr>
          <w:p>
            <w:pPr>
              <w:spacing w:line="240" w:lineRule="exact"/>
              <w:jc w:val="center"/>
              <w:rPr>
                <w:rFonts w:ascii="仿宋_GB2312" w:hAnsi="仿宋_GB2312" w:eastAsia="仿宋_GB2312" w:cs="仿宋_GB2312"/>
                <w:szCs w:val="21"/>
              </w:rPr>
            </w:pPr>
          </w:p>
        </w:tc>
        <w:tc>
          <w:tcPr>
            <w:tcW w:w="1138" w:type="dxa"/>
            <w:vAlign w:val="center"/>
          </w:tcPr>
          <w:p>
            <w:pPr>
              <w:spacing w:line="300" w:lineRule="exact"/>
              <w:jc w:val="center"/>
              <w:rPr>
                <w:rFonts w:ascii="仿宋_GB2312" w:hAnsi="仿宋_GB2312" w:eastAsia="仿宋_GB2312" w:cs="仿宋_GB2312"/>
                <w:szCs w:val="21"/>
              </w:rPr>
            </w:pPr>
            <w:r>
              <w:rPr>
                <w:rFonts w:ascii="仿宋_GB2312" w:hAnsi="仿宋_GB2312" w:eastAsia="仿宋_GB2312" w:cs="仿宋_GB2312"/>
                <w:szCs w:val="21"/>
              </w:rPr>
              <w:t>王军强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962" w:type="dxa"/>
            <w:vMerge w:val="continue"/>
            <w:vAlign w:val="center"/>
          </w:tcPr>
          <w:p>
            <w:pPr>
              <w:spacing w:line="280" w:lineRule="exact"/>
              <w:jc w:val="center"/>
              <w:rPr>
                <w:rFonts w:ascii="仿宋_GB2312" w:hAnsi="仿宋_GB2312" w:eastAsia="仿宋_GB2312" w:cs="仿宋_GB2312"/>
                <w:szCs w:val="21"/>
              </w:rPr>
            </w:pPr>
          </w:p>
        </w:tc>
        <w:tc>
          <w:tcPr>
            <w:tcW w:w="995" w:type="dxa"/>
            <w:vMerge w:val="continue"/>
            <w:vAlign w:val="center"/>
          </w:tcPr>
          <w:p>
            <w:pPr>
              <w:spacing w:line="280" w:lineRule="exact"/>
              <w:jc w:val="center"/>
              <w:rPr>
                <w:rFonts w:ascii="仿宋_GB2312" w:hAnsi="仿宋_GB2312" w:eastAsia="仿宋_GB2312" w:cs="仿宋_GB2312"/>
                <w:szCs w:val="21"/>
              </w:rPr>
            </w:pPr>
          </w:p>
        </w:tc>
        <w:tc>
          <w:tcPr>
            <w:tcW w:w="8499" w:type="dxa"/>
            <w:vAlign w:val="center"/>
          </w:tcPr>
          <w:p>
            <w:pPr>
              <w:spacing w:line="300" w:lineRule="exact"/>
              <w:jc w:val="left"/>
              <w:rPr>
                <w:rFonts w:ascii="仿宋_GB2312" w:hAnsi="仿宋_GB2312" w:eastAsia="仿宋_GB2312" w:cs="仿宋_GB2312"/>
                <w:szCs w:val="21"/>
              </w:rPr>
            </w:pPr>
            <w:r>
              <w:rPr>
                <w:rFonts w:hint="eastAsia" w:ascii="仿宋_GB2312" w:hAnsi="仿宋_GB2312" w:eastAsia="仿宋_GB2312" w:cs="仿宋_GB2312"/>
                <w:szCs w:val="21"/>
              </w:rPr>
              <w:t>完善“两代会”制度。</w:t>
            </w:r>
          </w:p>
        </w:tc>
        <w:tc>
          <w:tcPr>
            <w:tcW w:w="1315" w:type="dxa"/>
            <w:vAlign w:val="center"/>
          </w:tcPr>
          <w:p>
            <w:pPr>
              <w:spacing w:line="300" w:lineRule="exact"/>
              <w:jc w:val="center"/>
              <w:rPr>
                <w:rFonts w:ascii="仿宋_GB2312" w:hAnsi="仿宋_GB2312" w:eastAsia="仿宋_GB2312" w:cs="仿宋_GB2312"/>
                <w:szCs w:val="21"/>
              </w:rPr>
            </w:pPr>
            <w:r>
              <w:rPr>
                <w:rFonts w:ascii="仿宋_GB2312" w:hAnsi="仿宋_GB2312" w:eastAsia="仿宋_GB2312" w:cs="仿宋_GB2312"/>
                <w:szCs w:val="21"/>
              </w:rPr>
              <w:t>工会、团委</w:t>
            </w:r>
          </w:p>
        </w:tc>
        <w:tc>
          <w:tcPr>
            <w:tcW w:w="1706" w:type="dxa"/>
            <w:vAlign w:val="center"/>
          </w:tcPr>
          <w:p>
            <w:pPr>
              <w:spacing w:line="240" w:lineRule="exact"/>
              <w:jc w:val="center"/>
              <w:rPr>
                <w:rFonts w:ascii="仿宋_GB2312" w:hAnsi="仿宋_GB2312" w:eastAsia="仿宋_GB2312" w:cs="仿宋_GB2312"/>
                <w:szCs w:val="21"/>
              </w:rPr>
            </w:pPr>
          </w:p>
        </w:tc>
        <w:tc>
          <w:tcPr>
            <w:tcW w:w="1138" w:type="dxa"/>
            <w:vAlign w:val="center"/>
          </w:tcPr>
          <w:p>
            <w:pPr>
              <w:spacing w:line="300" w:lineRule="exact"/>
              <w:jc w:val="center"/>
              <w:rPr>
                <w:rFonts w:ascii="仿宋_GB2312" w:hAnsi="仿宋_GB2312" w:eastAsia="仿宋_GB2312" w:cs="仿宋_GB2312"/>
                <w:szCs w:val="21"/>
              </w:rPr>
            </w:pPr>
            <w:r>
              <w:rPr>
                <w:rFonts w:ascii="仿宋_GB2312" w:hAnsi="仿宋_GB2312" w:eastAsia="仿宋_GB2312" w:cs="仿宋_GB2312"/>
                <w:szCs w:val="21"/>
              </w:rPr>
              <w:t>王军强</w:t>
            </w:r>
          </w:p>
          <w:p>
            <w:pPr>
              <w:spacing w:line="300" w:lineRule="exact"/>
              <w:jc w:val="center"/>
              <w:rPr>
                <w:rFonts w:ascii="仿宋_GB2312" w:hAnsi="仿宋_GB2312" w:eastAsia="仿宋_GB2312" w:cs="仿宋_GB2312"/>
                <w:szCs w:val="21"/>
              </w:rPr>
            </w:pPr>
            <w:r>
              <w:rPr>
                <w:rFonts w:ascii="仿宋_GB2312" w:hAnsi="仿宋_GB2312" w:eastAsia="仿宋_GB2312" w:cs="仿宋_GB2312"/>
                <w:szCs w:val="21"/>
              </w:rPr>
              <w:t>陈</w:t>
            </w:r>
            <w:r>
              <w:rPr>
                <w:rFonts w:hint="eastAsia" w:ascii="仿宋_GB2312" w:hAnsi="仿宋_GB2312" w:eastAsia="仿宋_GB2312" w:cs="仿宋_GB2312"/>
                <w:szCs w:val="21"/>
              </w:rPr>
              <w:t xml:space="preserve">  </w:t>
            </w:r>
            <w:r>
              <w:rPr>
                <w:rFonts w:ascii="仿宋_GB2312" w:hAnsi="仿宋_GB2312" w:eastAsia="仿宋_GB2312" w:cs="仿宋_GB2312"/>
                <w:szCs w:val="21"/>
              </w:rPr>
              <w:t>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962" w:type="dxa"/>
            <w:vMerge w:val="continue"/>
            <w:vAlign w:val="center"/>
          </w:tcPr>
          <w:p>
            <w:pPr>
              <w:spacing w:line="280" w:lineRule="exact"/>
              <w:jc w:val="center"/>
              <w:rPr>
                <w:rFonts w:ascii="仿宋_GB2312" w:hAnsi="仿宋_GB2312" w:eastAsia="仿宋_GB2312" w:cs="仿宋_GB2312"/>
                <w:szCs w:val="21"/>
              </w:rPr>
            </w:pPr>
          </w:p>
        </w:tc>
        <w:tc>
          <w:tcPr>
            <w:tcW w:w="995" w:type="dxa"/>
            <w:vMerge w:val="continue"/>
            <w:vAlign w:val="center"/>
          </w:tcPr>
          <w:p>
            <w:pPr>
              <w:spacing w:line="280" w:lineRule="exact"/>
              <w:jc w:val="center"/>
              <w:rPr>
                <w:rFonts w:ascii="仿宋_GB2312" w:hAnsi="仿宋_GB2312" w:eastAsia="仿宋_GB2312" w:cs="仿宋_GB2312"/>
                <w:szCs w:val="21"/>
              </w:rPr>
            </w:pPr>
          </w:p>
        </w:tc>
        <w:tc>
          <w:tcPr>
            <w:tcW w:w="8499" w:type="dxa"/>
            <w:vAlign w:val="center"/>
          </w:tcPr>
          <w:p>
            <w:pPr>
              <w:spacing w:line="300" w:lineRule="exact"/>
              <w:jc w:val="left"/>
              <w:rPr>
                <w:rFonts w:ascii="仿宋_GB2312" w:hAnsi="仿宋_GB2312" w:eastAsia="仿宋_GB2312" w:cs="仿宋_GB2312"/>
                <w:szCs w:val="21"/>
              </w:rPr>
            </w:pPr>
            <w:r>
              <w:rPr>
                <w:rFonts w:hint="eastAsia" w:ascii="仿宋_GB2312" w:hAnsi="仿宋_GB2312" w:eastAsia="仿宋_GB2312" w:cs="仿宋_GB2312"/>
                <w:szCs w:val="21"/>
              </w:rPr>
              <w:t>完善信息公开制度</w:t>
            </w:r>
          </w:p>
        </w:tc>
        <w:tc>
          <w:tcPr>
            <w:tcW w:w="1315" w:type="dxa"/>
            <w:vAlign w:val="center"/>
          </w:tcPr>
          <w:p>
            <w:pPr>
              <w:spacing w:line="300" w:lineRule="exact"/>
              <w:jc w:val="center"/>
              <w:rPr>
                <w:rFonts w:ascii="仿宋_GB2312" w:hAnsi="仿宋_GB2312" w:eastAsia="仿宋_GB2312" w:cs="仿宋_GB2312"/>
                <w:szCs w:val="21"/>
              </w:rPr>
            </w:pPr>
            <w:r>
              <w:rPr>
                <w:rFonts w:ascii="仿宋_GB2312" w:hAnsi="仿宋_GB2312" w:eastAsia="仿宋_GB2312" w:cs="仿宋_GB2312"/>
                <w:szCs w:val="21"/>
              </w:rPr>
              <w:t>党政办</w:t>
            </w:r>
          </w:p>
        </w:tc>
        <w:tc>
          <w:tcPr>
            <w:tcW w:w="1706" w:type="dxa"/>
            <w:vAlign w:val="center"/>
          </w:tcPr>
          <w:p>
            <w:pPr>
              <w:spacing w:line="240" w:lineRule="exact"/>
              <w:jc w:val="center"/>
              <w:rPr>
                <w:rFonts w:ascii="仿宋_GB2312" w:hAnsi="仿宋_GB2312" w:eastAsia="仿宋_GB2312" w:cs="仿宋_GB2312"/>
                <w:szCs w:val="21"/>
              </w:rPr>
            </w:pPr>
            <w:r>
              <w:rPr>
                <w:rFonts w:ascii="仿宋_GB2312" w:hAnsi="仿宋_GB2312" w:eastAsia="仿宋_GB2312" w:cs="仿宋_GB2312"/>
                <w:szCs w:val="21"/>
              </w:rPr>
              <w:t>各处室（馆、中心）、系部</w:t>
            </w:r>
          </w:p>
        </w:tc>
        <w:tc>
          <w:tcPr>
            <w:tcW w:w="1138" w:type="dxa"/>
            <w:vAlign w:val="center"/>
          </w:tcPr>
          <w:p>
            <w:pPr>
              <w:spacing w:line="300" w:lineRule="exact"/>
              <w:jc w:val="center"/>
              <w:rPr>
                <w:rFonts w:ascii="仿宋_GB2312" w:hAnsi="仿宋_GB2312" w:eastAsia="仿宋_GB2312" w:cs="仿宋_GB2312"/>
                <w:szCs w:val="21"/>
              </w:rPr>
            </w:pPr>
            <w:r>
              <w:rPr>
                <w:rFonts w:ascii="仿宋_GB2312" w:hAnsi="仿宋_GB2312" w:eastAsia="仿宋_GB2312" w:cs="仿宋_GB2312"/>
                <w:szCs w:val="21"/>
              </w:rPr>
              <w:t>郭文安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962" w:type="dxa"/>
            <w:vMerge w:val="continue"/>
            <w:vAlign w:val="center"/>
          </w:tcPr>
          <w:p>
            <w:pPr>
              <w:spacing w:line="280" w:lineRule="exact"/>
              <w:jc w:val="center"/>
              <w:rPr>
                <w:rFonts w:ascii="仿宋_GB2312" w:hAnsi="仿宋_GB2312" w:eastAsia="仿宋_GB2312" w:cs="仿宋_GB2312"/>
                <w:szCs w:val="21"/>
              </w:rPr>
            </w:pPr>
          </w:p>
        </w:tc>
        <w:tc>
          <w:tcPr>
            <w:tcW w:w="995" w:type="dxa"/>
            <w:vMerge w:val="continue"/>
            <w:vAlign w:val="center"/>
          </w:tcPr>
          <w:p>
            <w:pPr>
              <w:spacing w:line="280" w:lineRule="exact"/>
              <w:jc w:val="center"/>
              <w:rPr>
                <w:rFonts w:ascii="仿宋_GB2312" w:hAnsi="仿宋_GB2312" w:eastAsia="仿宋_GB2312" w:cs="仿宋_GB2312"/>
                <w:szCs w:val="21"/>
              </w:rPr>
            </w:pPr>
          </w:p>
        </w:tc>
        <w:tc>
          <w:tcPr>
            <w:tcW w:w="8499" w:type="dxa"/>
            <w:vAlign w:val="center"/>
          </w:tcPr>
          <w:p>
            <w:pPr>
              <w:spacing w:line="300" w:lineRule="exact"/>
              <w:jc w:val="left"/>
              <w:rPr>
                <w:rFonts w:ascii="仿宋_GB2312" w:hAnsi="仿宋_GB2312" w:eastAsia="仿宋_GB2312" w:cs="仿宋_GB2312"/>
                <w:szCs w:val="21"/>
              </w:rPr>
            </w:pPr>
            <w:r>
              <w:rPr>
                <w:rFonts w:hint="eastAsia" w:ascii="仿宋_GB2312" w:hAnsi="仿宋_GB2312" w:eastAsia="仿宋_GB2312" w:cs="仿宋_GB2312"/>
                <w:szCs w:val="21"/>
              </w:rPr>
              <w:t>把教育评价改革列入重要议事日程，创新性落实好五项办学自主权。</w:t>
            </w:r>
          </w:p>
        </w:tc>
        <w:tc>
          <w:tcPr>
            <w:tcW w:w="1315" w:type="dxa"/>
            <w:vAlign w:val="center"/>
          </w:tcPr>
          <w:p>
            <w:pPr>
              <w:spacing w:line="300" w:lineRule="exact"/>
              <w:jc w:val="center"/>
              <w:rPr>
                <w:rFonts w:ascii="仿宋_GB2312" w:hAnsi="仿宋_GB2312" w:eastAsia="仿宋_GB2312" w:cs="仿宋_GB2312"/>
                <w:szCs w:val="21"/>
              </w:rPr>
            </w:pPr>
            <w:r>
              <w:rPr>
                <w:rFonts w:ascii="仿宋_GB2312" w:hAnsi="仿宋_GB2312" w:eastAsia="仿宋_GB2312" w:cs="仿宋_GB2312"/>
                <w:szCs w:val="21"/>
              </w:rPr>
              <w:t>组织人事处</w:t>
            </w:r>
          </w:p>
        </w:tc>
        <w:tc>
          <w:tcPr>
            <w:tcW w:w="1706" w:type="dxa"/>
            <w:vAlign w:val="center"/>
          </w:tcPr>
          <w:p>
            <w:pPr>
              <w:spacing w:line="240" w:lineRule="exact"/>
              <w:jc w:val="center"/>
              <w:rPr>
                <w:rFonts w:ascii="仿宋_GB2312" w:hAnsi="仿宋_GB2312" w:eastAsia="仿宋_GB2312" w:cs="仿宋_GB2312"/>
                <w:szCs w:val="21"/>
              </w:rPr>
            </w:pPr>
            <w:r>
              <w:rPr>
                <w:rFonts w:ascii="仿宋_GB2312" w:hAnsi="仿宋_GB2312" w:eastAsia="仿宋_GB2312" w:cs="仿宋_GB2312"/>
                <w:szCs w:val="21"/>
              </w:rPr>
              <w:t>财务资产处</w:t>
            </w:r>
          </w:p>
        </w:tc>
        <w:tc>
          <w:tcPr>
            <w:tcW w:w="1138" w:type="dxa"/>
            <w:vAlign w:val="center"/>
          </w:tcPr>
          <w:p>
            <w:pPr>
              <w:spacing w:line="300" w:lineRule="exact"/>
              <w:jc w:val="center"/>
              <w:rPr>
                <w:rFonts w:ascii="仿宋_GB2312" w:hAnsi="仿宋_GB2312" w:eastAsia="仿宋_GB2312" w:cs="仿宋_GB2312"/>
                <w:szCs w:val="21"/>
              </w:rPr>
            </w:pPr>
            <w:r>
              <w:rPr>
                <w:rFonts w:ascii="仿宋_GB2312" w:hAnsi="仿宋_GB2312" w:eastAsia="仿宋_GB2312" w:cs="仿宋_GB2312"/>
                <w:szCs w:val="21"/>
              </w:rPr>
              <w:t>王军强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962" w:type="dxa"/>
            <w:vMerge w:val="continue"/>
            <w:vAlign w:val="center"/>
          </w:tcPr>
          <w:p>
            <w:pPr>
              <w:spacing w:line="280" w:lineRule="exact"/>
              <w:jc w:val="center"/>
              <w:rPr>
                <w:rFonts w:ascii="仿宋_GB2312" w:hAnsi="仿宋_GB2312" w:eastAsia="仿宋_GB2312" w:cs="仿宋_GB2312"/>
                <w:szCs w:val="21"/>
              </w:rPr>
            </w:pPr>
          </w:p>
        </w:tc>
        <w:tc>
          <w:tcPr>
            <w:tcW w:w="995" w:type="dxa"/>
            <w:vMerge w:val="continue"/>
            <w:vAlign w:val="center"/>
          </w:tcPr>
          <w:p>
            <w:pPr>
              <w:spacing w:line="280" w:lineRule="exact"/>
              <w:jc w:val="center"/>
              <w:rPr>
                <w:rFonts w:ascii="仿宋_GB2312" w:hAnsi="仿宋_GB2312" w:eastAsia="仿宋_GB2312" w:cs="仿宋_GB2312"/>
                <w:szCs w:val="21"/>
              </w:rPr>
            </w:pPr>
          </w:p>
        </w:tc>
        <w:tc>
          <w:tcPr>
            <w:tcW w:w="8499" w:type="dxa"/>
            <w:vAlign w:val="center"/>
          </w:tcPr>
          <w:p>
            <w:pPr>
              <w:spacing w:line="300" w:lineRule="exact"/>
              <w:jc w:val="left"/>
              <w:rPr>
                <w:rFonts w:ascii="仿宋_GB2312" w:hAnsi="仿宋_GB2312" w:eastAsia="仿宋_GB2312" w:cs="仿宋_GB2312"/>
                <w:szCs w:val="21"/>
              </w:rPr>
            </w:pPr>
            <w:r>
              <w:rPr>
                <w:rFonts w:hint="eastAsia" w:ascii="仿宋_GB2312" w:hAnsi="仿宋_GB2312" w:eastAsia="仿宋_GB2312" w:cs="仿宋_GB2312"/>
                <w:szCs w:val="21"/>
              </w:rPr>
              <w:t>继续引进第三方机构，对学院办学质量和专业（群）发展水平进行评价与监督。</w:t>
            </w:r>
          </w:p>
        </w:tc>
        <w:tc>
          <w:tcPr>
            <w:tcW w:w="1315" w:type="dxa"/>
            <w:vAlign w:val="center"/>
          </w:tcPr>
          <w:p>
            <w:pPr>
              <w:spacing w:line="300" w:lineRule="exact"/>
              <w:jc w:val="center"/>
              <w:rPr>
                <w:rFonts w:ascii="仿宋_GB2312" w:hAnsi="仿宋_GB2312" w:eastAsia="仿宋_GB2312" w:cs="仿宋_GB2312"/>
                <w:szCs w:val="21"/>
              </w:rPr>
            </w:pPr>
            <w:r>
              <w:rPr>
                <w:rFonts w:ascii="仿宋_GB2312" w:hAnsi="仿宋_GB2312" w:eastAsia="仿宋_GB2312" w:cs="仿宋_GB2312"/>
                <w:szCs w:val="21"/>
              </w:rPr>
              <w:t>质控办</w:t>
            </w:r>
          </w:p>
        </w:tc>
        <w:tc>
          <w:tcPr>
            <w:tcW w:w="1706" w:type="dxa"/>
            <w:vAlign w:val="center"/>
          </w:tcPr>
          <w:p>
            <w:pPr>
              <w:spacing w:line="240" w:lineRule="exact"/>
              <w:jc w:val="center"/>
              <w:rPr>
                <w:rFonts w:ascii="仿宋_GB2312" w:hAnsi="仿宋_GB2312" w:eastAsia="仿宋_GB2312" w:cs="仿宋_GB2312"/>
                <w:szCs w:val="21"/>
              </w:rPr>
            </w:pPr>
          </w:p>
        </w:tc>
        <w:tc>
          <w:tcPr>
            <w:tcW w:w="1138" w:type="dxa"/>
            <w:vAlign w:val="center"/>
          </w:tcPr>
          <w:p>
            <w:pPr>
              <w:spacing w:line="300" w:lineRule="exact"/>
              <w:jc w:val="center"/>
              <w:rPr>
                <w:rFonts w:ascii="仿宋_GB2312" w:hAnsi="仿宋_GB2312" w:eastAsia="仿宋_GB2312" w:cs="仿宋_GB2312"/>
                <w:szCs w:val="21"/>
              </w:rPr>
            </w:pPr>
            <w:r>
              <w:rPr>
                <w:rFonts w:ascii="仿宋_GB2312" w:hAnsi="仿宋_GB2312" w:eastAsia="仿宋_GB2312" w:cs="仿宋_GB2312"/>
                <w:szCs w:val="21"/>
              </w:rPr>
              <w:t>杨</w:t>
            </w:r>
            <w:r>
              <w:rPr>
                <w:rFonts w:hint="eastAsia" w:ascii="仿宋_GB2312" w:hAnsi="仿宋_GB2312" w:eastAsia="仿宋_GB2312" w:cs="仿宋_GB2312"/>
                <w:szCs w:val="21"/>
              </w:rPr>
              <w:t xml:space="preserve">  </w:t>
            </w:r>
            <w:r>
              <w:rPr>
                <w:rFonts w:ascii="仿宋_GB2312" w:hAnsi="仿宋_GB2312" w:eastAsia="仿宋_GB2312" w:cs="仿宋_GB2312"/>
                <w:szCs w:val="21"/>
              </w:rPr>
              <w:t>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962" w:type="dxa"/>
            <w:vMerge w:val="continue"/>
            <w:vAlign w:val="center"/>
          </w:tcPr>
          <w:p>
            <w:pPr>
              <w:spacing w:line="280" w:lineRule="exact"/>
              <w:jc w:val="center"/>
              <w:rPr>
                <w:rFonts w:ascii="仿宋_GB2312" w:hAnsi="仿宋_GB2312" w:eastAsia="仿宋_GB2312" w:cs="仿宋_GB2312"/>
                <w:szCs w:val="21"/>
              </w:rPr>
            </w:pPr>
          </w:p>
        </w:tc>
        <w:tc>
          <w:tcPr>
            <w:tcW w:w="995" w:type="dxa"/>
            <w:vAlign w:val="center"/>
          </w:tcPr>
          <w:p>
            <w:pPr>
              <w:spacing w:line="280" w:lineRule="exact"/>
              <w:jc w:val="center"/>
              <w:rPr>
                <w:rFonts w:ascii="仿宋_GB2312" w:hAnsi="仿宋_GB2312" w:eastAsia="仿宋_GB2312" w:cs="仿宋_GB2312"/>
                <w:szCs w:val="21"/>
              </w:rPr>
            </w:pPr>
            <w:r>
              <w:rPr>
                <w:rFonts w:hint="eastAsia" w:ascii="仿宋_GB2312" w:hAnsi="仿宋_GB2312" w:eastAsia="仿宋_GB2312" w:cs="仿宋_GB2312"/>
                <w:szCs w:val="21"/>
              </w:rPr>
              <w:t>20.加快信息化建设。</w:t>
            </w:r>
          </w:p>
        </w:tc>
        <w:tc>
          <w:tcPr>
            <w:tcW w:w="8499" w:type="dxa"/>
            <w:vAlign w:val="center"/>
          </w:tcPr>
          <w:p>
            <w:pPr>
              <w:spacing w:line="300" w:lineRule="exact"/>
              <w:jc w:val="left"/>
              <w:rPr>
                <w:rFonts w:ascii="仿宋_GB2312" w:hAnsi="仿宋_GB2312" w:eastAsia="仿宋_GB2312" w:cs="仿宋_GB2312"/>
                <w:spacing w:val="-10"/>
                <w:szCs w:val="21"/>
              </w:rPr>
            </w:pPr>
            <w:r>
              <w:rPr>
                <w:rFonts w:hint="eastAsia" w:ascii="仿宋_GB2312" w:hAnsi="仿宋_GB2312" w:eastAsia="仿宋_GB2312" w:cs="仿宋_GB2312"/>
                <w:spacing w:val="-10"/>
                <w:szCs w:val="21"/>
              </w:rPr>
              <w:t>聚焦“5G+”“互联网+”，认真落实《教育信息化中长期发展规划（2021-2035）》《教育信息化“十四五”规划》《关于推进“互联网+教育”发展的指导意见》。完善校本大数据平台，推动教育教学、管理服务方式变革。深化网络学习空间应用普及行动，全面提升师生信息素养。积极争创山东省50所职业教育信息创新与改革试点校和全国300所职业教育信息化标杆学校。</w:t>
            </w:r>
          </w:p>
        </w:tc>
        <w:tc>
          <w:tcPr>
            <w:tcW w:w="1315" w:type="dxa"/>
            <w:vAlign w:val="center"/>
          </w:tcPr>
          <w:p>
            <w:pPr>
              <w:spacing w:line="300" w:lineRule="exact"/>
              <w:jc w:val="center"/>
              <w:rPr>
                <w:rFonts w:ascii="仿宋_GB2312" w:hAnsi="仿宋_GB2312" w:eastAsia="仿宋_GB2312" w:cs="仿宋_GB2312"/>
                <w:szCs w:val="21"/>
              </w:rPr>
            </w:pPr>
            <w:r>
              <w:rPr>
                <w:rFonts w:ascii="仿宋_GB2312" w:hAnsi="仿宋_GB2312" w:eastAsia="仿宋_GB2312" w:cs="仿宋_GB2312"/>
                <w:szCs w:val="21"/>
              </w:rPr>
              <w:t>网络信息中心</w:t>
            </w:r>
          </w:p>
        </w:tc>
        <w:tc>
          <w:tcPr>
            <w:tcW w:w="1706" w:type="dxa"/>
            <w:vAlign w:val="center"/>
          </w:tcPr>
          <w:p>
            <w:pPr>
              <w:spacing w:line="240" w:lineRule="exact"/>
              <w:jc w:val="center"/>
              <w:rPr>
                <w:rFonts w:ascii="仿宋_GB2312" w:hAnsi="仿宋_GB2312" w:eastAsia="仿宋_GB2312" w:cs="仿宋_GB2312"/>
                <w:szCs w:val="21"/>
              </w:rPr>
            </w:pPr>
            <w:r>
              <w:rPr>
                <w:rFonts w:ascii="仿宋_GB2312" w:hAnsi="仿宋_GB2312" w:eastAsia="仿宋_GB2312" w:cs="仿宋_GB2312"/>
                <w:szCs w:val="21"/>
              </w:rPr>
              <w:t>教务处</w:t>
            </w:r>
          </w:p>
        </w:tc>
        <w:tc>
          <w:tcPr>
            <w:tcW w:w="1138" w:type="dxa"/>
            <w:vAlign w:val="center"/>
          </w:tcPr>
          <w:p>
            <w:pPr>
              <w:spacing w:line="300" w:lineRule="exact"/>
              <w:jc w:val="center"/>
              <w:rPr>
                <w:rFonts w:ascii="仿宋_GB2312" w:hAnsi="仿宋_GB2312" w:eastAsia="仿宋_GB2312" w:cs="仿宋_GB2312"/>
                <w:szCs w:val="21"/>
              </w:rPr>
            </w:pPr>
            <w:r>
              <w:rPr>
                <w:rFonts w:ascii="仿宋_GB2312" w:hAnsi="仿宋_GB2312" w:eastAsia="仿宋_GB2312" w:cs="仿宋_GB2312"/>
                <w:szCs w:val="21"/>
              </w:rPr>
              <w:t>杨</w:t>
            </w:r>
            <w:r>
              <w:rPr>
                <w:rFonts w:hint="eastAsia" w:ascii="仿宋_GB2312" w:hAnsi="仿宋_GB2312" w:eastAsia="仿宋_GB2312" w:cs="仿宋_GB2312"/>
                <w:szCs w:val="21"/>
              </w:rPr>
              <w:t xml:space="preserve">  </w:t>
            </w:r>
            <w:r>
              <w:rPr>
                <w:rFonts w:ascii="仿宋_GB2312" w:hAnsi="仿宋_GB2312" w:eastAsia="仿宋_GB2312" w:cs="仿宋_GB2312"/>
                <w:szCs w:val="21"/>
              </w:rPr>
              <w:t>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962" w:type="dxa"/>
            <w:vMerge w:val="restart"/>
            <w:vAlign w:val="center"/>
          </w:tcPr>
          <w:p>
            <w:pPr>
              <w:spacing w:line="280" w:lineRule="exact"/>
              <w:jc w:val="center"/>
              <w:rPr>
                <w:rFonts w:ascii="仿宋_GB2312" w:hAnsi="仿宋_GB2312" w:eastAsia="仿宋_GB2312" w:cs="仿宋_GB2312"/>
                <w:szCs w:val="21"/>
              </w:rPr>
            </w:pPr>
            <w:r>
              <w:rPr>
                <w:rFonts w:hint="eastAsia" w:ascii="仿宋_GB2312" w:hAnsi="仿宋_GB2312" w:eastAsia="仿宋_GB2312" w:cs="仿宋_GB2312"/>
                <w:szCs w:val="21"/>
              </w:rPr>
              <w:t>五、坚定不移深化交流合作，主动服务发展新格局。</w:t>
            </w:r>
          </w:p>
        </w:tc>
        <w:tc>
          <w:tcPr>
            <w:tcW w:w="995" w:type="dxa"/>
            <w:vMerge w:val="restart"/>
            <w:vAlign w:val="center"/>
          </w:tcPr>
          <w:p>
            <w:pPr>
              <w:spacing w:line="280" w:lineRule="exact"/>
              <w:jc w:val="center"/>
              <w:rPr>
                <w:rFonts w:ascii="仿宋_GB2312" w:hAnsi="仿宋_GB2312" w:eastAsia="仿宋_GB2312" w:cs="仿宋_GB2312"/>
                <w:szCs w:val="21"/>
              </w:rPr>
            </w:pPr>
            <w:r>
              <w:rPr>
                <w:rFonts w:hint="eastAsia" w:ascii="仿宋_GB2312" w:hAnsi="仿宋_GB2312" w:eastAsia="仿宋_GB2312" w:cs="仿宋_GB2312"/>
                <w:szCs w:val="21"/>
              </w:rPr>
              <w:t>21.开展更深层次的校企校地合作。</w:t>
            </w:r>
          </w:p>
        </w:tc>
        <w:tc>
          <w:tcPr>
            <w:tcW w:w="8499" w:type="dxa"/>
            <w:vAlign w:val="center"/>
          </w:tcPr>
          <w:p>
            <w:pPr>
              <w:spacing w:line="300" w:lineRule="exact"/>
              <w:jc w:val="left"/>
              <w:rPr>
                <w:rFonts w:ascii="仿宋_GB2312" w:hAnsi="仿宋_GB2312" w:eastAsia="仿宋_GB2312" w:cs="仿宋_GB2312"/>
                <w:szCs w:val="21"/>
              </w:rPr>
            </w:pPr>
            <w:r>
              <w:rPr>
                <w:rFonts w:hint="eastAsia" w:ascii="仿宋_GB2312" w:hAnsi="仿宋_GB2312" w:eastAsia="仿宋_GB2312" w:cs="仿宋_GB2312"/>
                <w:szCs w:val="21"/>
              </w:rPr>
              <w:t>健全产业结构调整驱动专业改革、行业技术进步驱动课程改革、企业真实应用驱动教学改革机制，举办好产教对话活动。</w:t>
            </w:r>
          </w:p>
        </w:tc>
        <w:tc>
          <w:tcPr>
            <w:tcW w:w="1315" w:type="dxa"/>
            <w:vAlign w:val="center"/>
          </w:tcPr>
          <w:p>
            <w:pPr>
              <w:spacing w:line="300" w:lineRule="exact"/>
              <w:jc w:val="center"/>
              <w:rPr>
                <w:rFonts w:ascii="仿宋_GB2312" w:hAnsi="仿宋_GB2312" w:eastAsia="仿宋_GB2312" w:cs="仿宋_GB2312"/>
                <w:szCs w:val="21"/>
              </w:rPr>
            </w:pPr>
            <w:r>
              <w:rPr>
                <w:rFonts w:ascii="仿宋_GB2312" w:hAnsi="仿宋_GB2312" w:eastAsia="仿宋_GB2312" w:cs="仿宋_GB2312"/>
                <w:szCs w:val="21"/>
              </w:rPr>
              <w:t>对外合作处</w:t>
            </w:r>
          </w:p>
        </w:tc>
        <w:tc>
          <w:tcPr>
            <w:tcW w:w="1706" w:type="dxa"/>
            <w:vAlign w:val="center"/>
          </w:tcPr>
          <w:p>
            <w:pPr>
              <w:spacing w:line="240" w:lineRule="exact"/>
              <w:jc w:val="center"/>
              <w:rPr>
                <w:rFonts w:ascii="仿宋_GB2312" w:hAnsi="仿宋_GB2312" w:eastAsia="仿宋_GB2312" w:cs="仿宋_GB2312"/>
                <w:szCs w:val="21"/>
              </w:rPr>
            </w:pPr>
            <w:r>
              <w:rPr>
                <w:rFonts w:ascii="仿宋_GB2312" w:hAnsi="仿宋_GB2312" w:eastAsia="仿宋_GB2312" w:cs="仿宋_GB2312"/>
                <w:szCs w:val="21"/>
              </w:rPr>
              <w:t>教务处、各系</w:t>
            </w:r>
          </w:p>
        </w:tc>
        <w:tc>
          <w:tcPr>
            <w:tcW w:w="1138" w:type="dxa"/>
            <w:vAlign w:val="center"/>
          </w:tcPr>
          <w:p>
            <w:pPr>
              <w:spacing w:line="300" w:lineRule="exact"/>
              <w:jc w:val="center"/>
              <w:rPr>
                <w:rFonts w:ascii="仿宋_GB2312" w:hAnsi="仿宋_GB2312" w:eastAsia="仿宋_GB2312" w:cs="仿宋_GB2312"/>
                <w:szCs w:val="21"/>
              </w:rPr>
            </w:pPr>
            <w:r>
              <w:rPr>
                <w:rFonts w:ascii="仿宋_GB2312" w:hAnsi="仿宋_GB2312" w:eastAsia="仿宋_GB2312" w:cs="仿宋_GB2312"/>
                <w:szCs w:val="21"/>
              </w:rPr>
              <w:t>侯仕营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962" w:type="dxa"/>
            <w:vMerge w:val="continue"/>
            <w:vAlign w:val="center"/>
          </w:tcPr>
          <w:p>
            <w:pPr>
              <w:spacing w:line="280" w:lineRule="exact"/>
              <w:jc w:val="center"/>
              <w:rPr>
                <w:rFonts w:ascii="仿宋_GB2312" w:hAnsi="仿宋_GB2312" w:eastAsia="仿宋_GB2312" w:cs="仿宋_GB2312"/>
                <w:szCs w:val="21"/>
              </w:rPr>
            </w:pPr>
          </w:p>
        </w:tc>
        <w:tc>
          <w:tcPr>
            <w:tcW w:w="995" w:type="dxa"/>
            <w:vMerge w:val="continue"/>
            <w:vAlign w:val="center"/>
          </w:tcPr>
          <w:p>
            <w:pPr>
              <w:spacing w:line="280" w:lineRule="exact"/>
              <w:jc w:val="center"/>
              <w:rPr>
                <w:rFonts w:ascii="仿宋_GB2312" w:hAnsi="仿宋_GB2312" w:eastAsia="仿宋_GB2312" w:cs="仿宋_GB2312"/>
                <w:szCs w:val="21"/>
              </w:rPr>
            </w:pPr>
          </w:p>
        </w:tc>
        <w:tc>
          <w:tcPr>
            <w:tcW w:w="8499" w:type="dxa"/>
            <w:vAlign w:val="center"/>
          </w:tcPr>
          <w:p>
            <w:pPr>
              <w:spacing w:line="300" w:lineRule="exact"/>
              <w:jc w:val="left"/>
              <w:rPr>
                <w:rFonts w:ascii="仿宋_GB2312" w:hAnsi="仿宋_GB2312" w:eastAsia="仿宋_GB2312" w:cs="仿宋_GB2312"/>
                <w:szCs w:val="21"/>
              </w:rPr>
            </w:pPr>
            <w:r>
              <w:rPr>
                <w:rFonts w:hint="eastAsia" w:ascii="仿宋_GB2312" w:hAnsi="仿宋_GB2312" w:eastAsia="仿宋_GB2312" w:cs="仿宋_GB2312"/>
                <w:szCs w:val="21"/>
              </w:rPr>
              <w:t>争取再申报1个省级职教集团，提升3个职教集团的集聚和辐射功能，争创省级骨干职教集团。</w:t>
            </w:r>
          </w:p>
        </w:tc>
        <w:tc>
          <w:tcPr>
            <w:tcW w:w="1315" w:type="dxa"/>
            <w:vAlign w:val="center"/>
          </w:tcPr>
          <w:p>
            <w:pPr>
              <w:spacing w:line="300" w:lineRule="exact"/>
              <w:jc w:val="center"/>
              <w:rPr>
                <w:rFonts w:ascii="仿宋_GB2312" w:hAnsi="仿宋_GB2312" w:eastAsia="仿宋_GB2312" w:cs="仿宋_GB2312"/>
                <w:szCs w:val="21"/>
              </w:rPr>
            </w:pPr>
            <w:r>
              <w:rPr>
                <w:rFonts w:ascii="仿宋_GB2312" w:hAnsi="仿宋_GB2312" w:eastAsia="仿宋_GB2312" w:cs="仿宋_GB2312"/>
                <w:szCs w:val="21"/>
              </w:rPr>
              <w:t>对外合作处</w:t>
            </w:r>
          </w:p>
        </w:tc>
        <w:tc>
          <w:tcPr>
            <w:tcW w:w="1706" w:type="dxa"/>
            <w:vAlign w:val="center"/>
          </w:tcPr>
          <w:p>
            <w:pPr>
              <w:spacing w:line="240" w:lineRule="exact"/>
              <w:jc w:val="center"/>
              <w:rPr>
                <w:rFonts w:ascii="仿宋_GB2312" w:hAnsi="仿宋_GB2312" w:eastAsia="仿宋_GB2312" w:cs="仿宋_GB2312"/>
                <w:szCs w:val="21"/>
              </w:rPr>
            </w:pPr>
            <w:r>
              <w:rPr>
                <w:rFonts w:ascii="仿宋_GB2312" w:hAnsi="仿宋_GB2312" w:eastAsia="仿宋_GB2312" w:cs="仿宋_GB2312"/>
                <w:szCs w:val="21"/>
              </w:rPr>
              <w:t>相关系</w:t>
            </w:r>
          </w:p>
        </w:tc>
        <w:tc>
          <w:tcPr>
            <w:tcW w:w="1138" w:type="dxa"/>
            <w:vAlign w:val="center"/>
          </w:tcPr>
          <w:p>
            <w:pPr>
              <w:spacing w:line="300" w:lineRule="exact"/>
              <w:jc w:val="center"/>
              <w:rPr>
                <w:rFonts w:ascii="仿宋_GB2312" w:hAnsi="仿宋_GB2312" w:eastAsia="仿宋_GB2312" w:cs="仿宋_GB2312"/>
                <w:szCs w:val="21"/>
              </w:rPr>
            </w:pPr>
            <w:r>
              <w:rPr>
                <w:rFonts w:ascii="仿宋_GB2312" w:hAnsi="仿宋_GB2312" w:eastAsia="仿宋_GB2312" w:cs="仿宋_GB2312"/>
                <w:szCs w:val="21"/>
              </w:rPr>
              <w:t>侯仕营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962" w:type="dxa"/>
            <w:vMerge w:val="continue"/>
            <w:vAlign w:val="center"/>
          </w:tcPr>
          <w:p>
            <w:pPr>
              <w:spacing w:line="280" w:lineRule="exact"/>
              <w:jc w:val="center"/>
              <w:rPr>
                <w:rFonts w:ascii="仿宋_GB2312" w:hAnsi="仿宋_GB2312" w:eastAsia="仿宋_GB2312" w:cs="仿宋_GB2312"/>
                <w:szCs w:val="21"/>
              </w:rPr>
            </w:pPr>
          </w:p>
        </w:tc>
        <w:tc>
          <w:tcPr>
            <w:tcW w:w="995" w:type="dxa"/>
            <w:vMerge w:val="continue"/>
            <w:vAlign w:val="center"/>
          </w:tcPr>
          <w:p>
            <w:pPr>
              <w:spacing w:line="280" w:lineRule="exact"/>
              <w:jc w:val="center"/>
              <w:rPr>
                <w:rFonts w:ascii="仿宋_GB2312" w:hAnsi="仿宋_GB2312" w:eastAsia="仿宋_GB2312" w:cs="仿宋_GB2312"/>
                <w:szCs w:val="21"/>
              </w:rPr>
            </w:pPr>
          </w:p>
        </w:tc>
        <w:tc>
          <w:tcPr>
            <w:tcW w:w="8499" w:type="dxa"/>
            <w:vAlign w:val="center"/>
          </w:tcPr>
          <w:p>
            <w:pPr>
              <w:spacing w:line="300" w:lineRule="exact"/>
              <w:jc w:val="left"/>
              <w:rPr>
                <w:rFonts w:ascii="仿宋_GB2312" w:hAnsi="仿宋_GB2312" w:eastAsia="仿宋_GB2312" w:cs="仿宋_GB2312"/>
                <w:szCs w:val="21"/>
              </w:rPr>
            </w:pPr>
            <w:r>
              <w:rPr>
                <w:rFonts w:hint="eastAsia" w:ascii="仿宋_GB2312" w:hAnsi="仿宋_GB2312" w:eastAsia="仿宋_GB2312" w:cs="仿宋_GB2312"/>
                <w:szCs w:val="21"/>
              </w:rPr>
              <w:t>加强与威海产业园区、骨干企业、龙头企业深度合作，共建研发基地、成果转化中心等，新增深度合作企业15家以上。</w:t>
            </w:r>
          </w:p>
        </w:tc>
        <w:tc>
          <w:tcPr>
            <w:tcW w:w="1315" w:type="dxa"/>
            <w:vAlign w:val="center"/>
          </w:tcPr>
          <w:p>
            <w:pPr>
              <w:spacing w:line="300" w:lineRule="exact"/>
              <w:jc w:val="center"/>
              <w:rPr>
                <w:rFonts w:ascii="仿宋_GB2312" w:hAnsi="仿宋_GB2312" w:eastAsia="仿宋_GB2312" w:cs="仿宋_GB2312"/>
                <w:szCs w:val="21"/>
              </w:rPr>
            </w:pPr>
            <w:r>
              <w:rPr>
                <w:rFonts w:ascii="仿宋_GB2312" w:hAnsi="仿宋_GB2312" w:eastAsia="仿宋_GB2312" w:cs="仿宋_GB2312"/>
                <w:szCs w:val="21"/>
              </w:rPr>
              <w:t>对外合作处</w:t>
            </w:r>
          </w:p>
        </w:tc>
        <w:tc>
          <w:tcPr>
            <w:tcW w:w="1706" w:type="dxa"/>
            <w:vAlign w:val="center"/>
          </w:tcPr>
          <w:p>
            <w:pPr>
              <w:spacing w:line="240" w:lineRule="exact"/>
              <w:jc w:val="center"/>
              <w:rPr>
                <w:rFonts w:ascii="仿宋_GB2312" w:hAnsi="仿宋_GB2312" w:eastAsia="仿宋_GB2312" w:cs="仿宋_GB2312"/>
                <w:szCs w:val="21"/>
              </w:rPr>
            </w:pPr>
            <w:r>
              <w:rPr>
                <w:rFonts w:ascii="仿宋_GB2312" w:hAnsi="仿宋_GB2312" w:eastAsia="仿宋_GB2312" w:cs="仿宋_GB2312"/>
                <w:szCs w:val="21"/>
              </w:rPr>
              <w:t>科研处、各系</w:t>
            </w:r>
          </w:p>
        </w:tc>
        <w:tc>
          <w:tcPr>
            <w:tcW w:w="1138" w:type="dxa"/>
            <w:vAlign w:val="center"/>
          </w:tcPr>
          <w:p>
            <w:pPr>
              <w:spacing w:line="300" w:lineRule="exact"/>
              <w:jc w:val="center"/>
              <w:rPr>
                <w:rFonts w:ascii="仿宋_GB2312" w:hAnsi="仿宋_GB2312" w:eastAsia="仿宋_GB2312" w:cs="仿宋_GB2312"/>
                <w:szCs w:val="21"/>
              </w:rPr>
            </w:pPr>
            <w:r>
              <w:rPr>
                <w:rFonts w:ascii="仿宋_GB2312" w:hAnsi="仿宋_GB2312" w:eastAsia="仿宋_GB2312" w:cs="仿宋_GB2312"/>
                <w:szCs w:val="21"/>
              </w:rPr>
              <w:t>侯仕营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962" w:type="dxa"/>
            <w:vMerge w:val="continue"/>
            <w:vAlign w:val="center"/>
          </w:tcPr>
          <w:p>
            <w:pPr>
              <w:spacing w:line="280" w:lineRule="exact"/>
              <w:jc w:val="center"/>
              <w:rPr>
                <w:rFonts w:ascii="仿宋_GB2312" w:hAnsi="仿宋_GB2312" w:eastAsia="仿宋_GB2312" w:cs="仿宋_GB2312"/>
                <w:szCs w:val="21"/>
              </w:rPr>
            </w:pPr>
          </w:p>
        </w:tc>
        <w:tc>
          <w:tcPr>
            <w:tcW w:w="995" w:type="dxa"/>
            <w:vMerge w:val="continue"/>
            <w:vAlign w:val="center"/>
          </w:tcPr>
          <w:p>
            <w:pPr>
              <w:spacing w:line="280" w:lineRule="exact"/>
              <w:jc w:val="center"/>
              <w:rPr>
                <w:rFonts w:ascii="仿宋_GB2312" w:hAnsi="仿宋_GB2312" w:eastAsia="仿宋_GB2312" w:cs="仿宋_GB2312"/>
                <w:szCs w:val="21"/>
              </w:rPr>
            </w:pPr>
          </w:p>
        </w:tc>
        <w:tc>
          <w:tcPr>
            <w:tcW w:w="8499" w:type="dxa"/>
            <w:vAlign w:val="center"/>
          </w:tcPr>
          <w:p>
            <w:pPr>
              <w:spacing w:line="300" w:lineRule="exact"/>
              <w:jc w:val="left"/>
              <w:rPr>
                <w:rFonts w:ascii="仿宋_GB2312" w:hAnsi="仿宋_GB2312" w:eastAsia="仿宋_GB2312" w:cs="仿宋_GB2312"/>
                <w:szCs w:val="21"/>
              </w:rPr>
            </w:pPr>
            <w:r>
              <w:rPr>
                <w:rFonts w:hint="eastAsia" w:ascii="仿宋_GB2312" w:hAnsi="仿宋_GB2312" w:eastAsia="仿宋_GB2312" w:cs="仿宋_GB2312"/>
                <w:szCs w:val="21"/>
              </w:rPr>
              <w:t>新建高标准生产性实训基地3个，争创省级智能制造实训基地。</w:t>
            </w:r>
          </w:p>
        </w:tc>
        <w:tc>
          <w:tcPr>
            <w:tcW w:w="1315" w:type="dxa"/>
            <w:vAlign w:val="center"/>
          </w:tcPr>
          <w:p>
            <w:pPr>
              <w:spacing w:line="300" w:lineRule="exact"/>
              <w:jc w:val="center"/>
              <w:rPr>
                <w:rFonts w:ascii="仿宋_GB2312" w:hAnsi="仿宋_GB2312" w:eastAsia="仿宋_GB2312" w:cs="仿宋_GB2312"/>
                <w:szCs w:val="21"/>
              </w:rPr>
            </w:pPr>
            <w:r>
              <w:rPr>
                <w:rFonts w:ascii="仿宋_GB2312" w:hAnsi="仿宋_GB2312" w:eastAsia="仿宋_GB2312" w:cs="仿宋_GB2312"/>
                <w:szCs w:val="21"/>
              </w:rPr>
              <w:t>对外合作处</w:t>
            </w:r>
          </w:p>
        </w:tc>
        <w:tc>
          <w:tcPr>
            <w:tcW w:w="1706" w:type="dxa"/>
            <w:vAlign w:val="center"/>
          </w:tcPr>
          <w:p>
            <w:pPr>
              <w:spacing w:line="240" w:lineRule="exact"/>
              <w:jc w:val="center"/>
              <w:rPr>
                <w:rFonts w:ascii="仿宋_GB2312" w:hAnsi="仿宋_GB2312" w:eastAsia="仿宋_GB2312" w:cs="仿宋_GB2312"/>
                <w:szCs w:val="21"/>
              </w:rPr>
            </w:pPr>
            <w:r>
              <w:rPr>
                <w:rFonts w:ascii="仿宋_GB2312" w:hAnsi="仿宋_GB2312" w:eastAsia="仿宋_GB2312" w:cs="仿宋_GB2312"/>
                <w:szCs w:val="21"/>
              </w:rPr>
              <w:t>教务处、各系</w:t>
            </w:r>
          </w:p>
        </w:tc>
        <w:tc>
          <w:tcPr>
            <w:tcW w:w="1138" w:type="dxa"/>
            <w:vAlign w:val="center"/>
          </w:tcPr>
          <w:p>
            <w:pPr>
              <w:spacing w:line="300" w:lineRule="exact"/>
              <w:jc w:val="center"/>
              <w:rPr>
                <w:rFonts w:ascii="仿宋_GB2312" w:hAnsi="仿宋_GB2312" w:eastAsia="仿宋_GB2312" w:cs="仿宋_GB2312"/>
                <w:szCs w:val="21"/>
              </w:rPr>
            </w:pPr>
            <w:r>
              <w:rPr>
                <w:rFonts w:ascii="仿宋_GB2312" w:hAnsi="仿宋_GB2312" w:eastAsia="仿宋_GB2312" w:cs="仿宋_GB2312"/>
                <w:szCs w:val="21"/>
              </w:rPr>
              <w:t>侯仕营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962" w:type="dxa"/>
            <w:vMerge w:val="continue"/>
            <w:vAlign w:val="center"/>
          </w:tcPr>
          <w:p>
            <w:pPr>
              <w:spacing w:line="280" w:lineRule="exact"/>
              <w:jc w:val="center"/>
              <w:rPr>
                <w:rFonts w:ascii="仿宋_GB2312" w:hAnsi="仿宋_GB2312" w:eastAsia="仿宋_GB2312" w:cs="仿宋_GB2312"/>
                <w:szCs w:val="21"/>
              </w:rPr>
            </w:pPr>
          </w:p>
        </w:tc>
        <w:tc>
          <w:tcPr>
            <w:tcW w:w="995" w:type="dxa"/>
            <w:vMerge w:val="continue"/>
            <w:vAlign w:val="center"/>
          </w:tcPr>
          <w:p>
            <w:pPr>
              <w:spacing w:line="280" w:lineRule="exact"/>
              <w:jc w:val="center"/>
              <w:rPr>
                <w:rFonts w:ascii="仿宋_GB2312" w:hAnsi="仿宋_GB2312" w:eastAsia="仿宋_GB2312" w:cs="仿宋_GB2312"/>
                <w:szCs w:val="21"/>
              </w:rPr>
            </w:pPr>
          </w:p>
        </w:tc>
        <w:tc>
          <w:tcPr>
            <w:tcW w:w="8499" w:type="dxa"/>
            <w:vAlign w:val="center"/>
          </w:tcPr>
          <w:p>
            <w:pPr>
              <w:spacing w:line="300" w:lineRule="exact"/>
              <w:jc w:val="left"/>
              <w:rPr>
                <w:rFonts w:ascii="仿宋_GB2312" w:hAnsi="仿宋_GB2312" w:eastAsia="仿宋_GB2312" w:cs="仿宋_GB2312"/>
                <w:spacing w:val="-20"/>
                <w:szCs w:val="21"/>
              </w:rPr>
            </w:pPr>
            <w:r>
              <w:rPr>
                <w:rFonts w:hint="eastAsia" w:ascii="仿宋_GB2312" w:hAnsi="仿宋_GB2312" w:eastAsia="仿宋_GB2312" w:cs="仿宋_GB2312"/>
                <w:spacing w:val="-20"/>
                <w:szCs w:val="21"/>
              </w:rPr>
              <w:t>建设好已有的混合所有制产业学院，探索“建工厂式学院、办产业式专业、开发技术式课程、培养产业高端人才”。</w:t>
            </w:r>
          </w:p>
        </w:tc>
        <w:tc>
          <w:tcPr>
            <w:tcW w:w="1315" w:type="dxa"/>
            <w:vAlign w:val="center"/>
          </w:tcPr>
          <w:p>
            <w:pPr>
              <w:spacing w:line="300" w:lineRule="exact"/>
              <w:jc w:val="center"/>
              <w:rPr>
                <w:rFonts w:ascii="仿宋_GB2312" w:hAnsi="仿宋_GB2312" w:eastAsia="仿宋_GB2312" w:cs="仿宋_GB2312"/>
                <w:szCs w:val="21"/>
              </w:rPr>
            </w:pPr>
            <w:r>
              <w:rPr>
                <w:rFonts w:ascii="仿宋_GB2312" w:hAnsi="仿宋_GB2312" w:eastAsia="仿宋_GB2312" w:cs="仿宋_GB2312"/>
                <w:szCs w:val="21"/>
              </w:rPr>
              <w:t>对外合作处</w:t>
            </w:r>
          </w:p>
        </w:tc>
        <w:tc>
          <w:tcPr>
            <w:tcW w:w="1706" w:type="dxa"/>
            <w:vAlign w:val="center"/>
          </w:tcPr>
          <w:p>
            <w:pPr>
              <w:spacing w:line="240" w:lineRule="exact"/>
              <w:jc w:val="center"/>
              <w:rPr>
                <w:rFonts w:ascii="仿宋_GB2312" w:hAnsi="仿宋_GB2312" w:eastAsia="仿宋_GB2312" w:cs="仿宋_GB2312"/>
                <w:szCs w:val="21"/>
              </w:rPr>
            </w:pPr>
            <w:r>
              <w:rPr>
                <w:rFonts w:ascii="仿宋_GB2312" w:hAnsi="仿宋_GB2312" w:eastAsia="仿宋_GB2312" w:cs="仿宋_GB2312"/>
                <w:szCs w:val="21"/>
              </w:rPr>
              <w:t>各系</w:t>
            </w:r>
          </w:p>
        </w:tc>
        <w:tc>
          <w:tcPr>
            <w:tcW w:w="1138" w:type="dxa"/>
            <w:vAlign w:val="center"/>
          </w:tcPr>
          <w:p>
            <w:pPr>
              <w:spacing w:line="300" w:lineRule="exact"/>
              <w:jc w:val="center"/>
              <w:rPr>
                <w:rFonts w:ascii="仿宋_GB2312" w:hAnsi="仿宋_GB2312" w:eastAsia="仿宋_GB2312" w:cs="仿宋_GB2312"/>
                <w:szCs w:val="21"/>
              </w:rPr>
            </w:pPr>
            <w:r>
              <w:rPr>
                <w:rFonts w:ascii="仿宋_GB2312" w:hAnsi="仿宋_GB2312" w:eastAsia="仿宋_GB2312" w:cs="仿宋_GB2312"/>
                <w:szCs w:val="21"/>
              </w:rPr>
              <w:t>侯仕营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trPr>
        <w:tc>
          <w:tcPr>
            <w:tcW w:w="962" w:type="dxa"/>
            <w:vMerge w:val="continue"/>
            <w:vAlign w:val="center"/>
          </w:tcPr>
          <w:p>
            <w:pPr>
              <w:spacing w:line="280" w:lineRule="exact"/>
              <w:jc w:val="center"/>
              <w:rPr>
                <w:rFonts w:ascii="仿宋_GB2312" w:hAnsi="仿宋_GB2312" w:eastAsia="仿宋_GB2312" w:cs="仿宋_GB2312"/>
                <w:szCs w:val="21"/>
              </w:rPr>
            </w:pPr>
          </w:p>
        </w:tc>
        <w:tc>
          <w:tcPr>
            <w:tcW w:w="995" w:type="dxa"/>
            <w:vMerge w:val="restart"/>
            <w:vAlign w:val="center"/>
          </w:tcPr>
          <w:p>
            <w:pPr>
              <w:spacing w:line="280" w:lineRule="exact"/>
              <w:jc w:val="center"/>
              <w:rPr>
                <w:rFonts w:ascii="仿宋_GB2312" w:hAnsi="仿宋_GB2312" w:eastAsia="仿宋_GB2312" w:cs="仿宋_GB2312"/>
                <w:szCs w:val="21"/>
              </w:rPr>
            </w:pPr>
            <w:r>
              <w:rPr>
                <w:rFonts w:hint="eastAsia" w:ascii="仿宋_GB2312" w:hAnsi="仿宋_GB2312" w:eastAsia="仿宋_GB2312" w:cs="仿宋_GB2312"/>
                <w:bCs/>
                <w:szCs w:val="21"/>
              </w:rPr>
              <w:t>22.探索更广范围的境内外合作办学。</w:t>
            </w:r>
          </w:p>
        </w:tc>
        <w:tc>
          <w:tcPr>
            <w:tcW w:w="8499" w:type="dxa"/>
            <w:vAlign w:val="center"/>
          </w:tcPr>
          <w:p>
            <w:pPr>
              <w:spacing w:line="300" w:lineRule="exact"/>
              <w:jc w:val="left"/>
              <w:rPr>
                <w:rFonts w:ascii="仿宋_GB2312" w:hAnsi="仿宋_GB2312" w:eastAsia="仿宋_GB2312" w:cs="仿宋_GB2312"/>
                <w:szCs w:val="21"/>
              </w:rPr>
            </w:pPr>
            <w:r>
              <w:rPr>
                <w:rFonts w:hint="eastAsia" w:ascii="仿宋_GB2312" w:hAnsi="仿宋_GB2312" w:eastAsia="仿宋_GB2312" w:cs="仿宋_GB2312"/>
                <w:szCs w:val="21"/>
              </w:rPr>
              <w:t>制定适合我院实际的国际合作管理机制，提升办学的国际化和科学化水平。</w:t>
            </w:r>
          </w:p>
        </w:tc>
        <w:tc>
          <w:tcPr>
            <w:tcW w:w="1315" w:type="dxa"/>
            <w:vAlign w:val="center"/>
          </w:tcPr>
          <w:p>
            <w:pPr>
              <w:spacing w:line="300" w:lineRule="exact"/>
              <w:jc w:val="center"/>
              <w:rPr>
                <w:rFonts w:ascii="仿宋_GB2312" w:hAnsi="仿宋_GB2312" w:eastAsia="仿宋_GB2312" w:cs="仿宋_GB2312"/>
                <w:szCs w:val="21"/>
              </w:rPr>
            </w:pPr>
            <w:r>
              <w:rPr>
                <w:rFonts w:ascii="仿宋_GB2312" w:hAnsi="仿宋_GB2312" w:eastAsia="仿宋_GB2312" w:cs="仿宋_GB2312"/>
                <w:szCs w:val="21"/>
              </w:rPr>
              <w:t>对外合作处</w:t>
            </w:r>
          </w:p>
        </w:tc>
        <w:tc>
          <w:tcPr>
            <w:tcW w:w="1706" w:type="dxa"/>
            <w:vAlign w:val="center"/>
          </w:tcPr>
          <w:p>
            <w:pPr>
              <w:spacing w:line="240" w:lineRule="exact"/>
              <w:jc w:val="center"/>
              <w:rPr>
                <w:rFonts w:ascii="仿宋_GB2312" w:hAnsi="仿宋_GB2312" w:eastAsia="仿宋_GB2312" w:cs="仿宋_GB2312"/>
                <w:szCs w:val="21"/>
              </w:rPr>
            </w:pPr>
          </w:p>
        </w:tc>
        <w:tc>
          <w:tcPr>
            <w:tcW w:w="1138" w:type="dxa"/>
            <w:vAlign w:val="center"/>
          </w:tcPr>
          <w:p>
            <w:pPr>
              <w:spacing w:line="300" w:lineRule="exact"/>
              <w:jc w:val="center"/>
              <w:rPr>
                <w:rFonts w:ascii="仿宋_GB2312" w:hAnsi="仿宋_GB2312" w:eastAsia="仿宋_GB2312" w:cs="仿宋_GB2312"/>
                <w:szCs w:val="21"/>
              </w:rPr>
            </w:pPr>
            <w:r>
              <w:rPr>
                <w:rFonts w:ascii="仿宋_GB2312" w:hAnsi="仿宋_GB2312" w:eastAsia="仿宋_GB2312" w:cs="仿宋_GB2312"/>
                <w:szCs w:val="21"/>
              </w:rPr>
              <w:t>侯仕营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trPr>
        <w:tc>
          <w:tcPr>
            <w:tcW w:w="962" w:type="dxa"/>
            <w:vMerge w:val="continue"/>
            <w:vAlign w:val="center"/>
          </w:tcPr>
          <w:p>
            <w:pPr>
              <w:spacing w:line="280" w:lineRule="exact"/>
              <w:jc w:val="center"/>
              <w:rPr>
                <w:rFonts w:ascii="仿宋_GB2312" w:hAnsi="仿宋_GB2312" w:eastAsia="仿宋_GB2312" w:cs="仿宋_GB2312"/>
                <w:szCs w:val="21"/>
              </w:rPr>
            </w:pPr>
          </w:p>
        </w:tc>
        <w:tc>
          <w:tcPr>
            <w:tcW w:w="995" w:type="dxa"/>
            <w:vMerge w:val="continue"/>
            <w:vAlign w:val="center"/>
          </w:tcPr>
          <w:p>
            <w:pPr>
              <w:spacing w:line="280" w:lineRule="exact"/>
              <w:jc w:val="center"/>
              <w:rPr>
                <w:rFonts w:ascii="仿宋_GB2312" w:hAnsi="仿宋_GB2312" w:eastAsia="仿宋_GB2312" w:cs="仿宋_GB2312"/>
                <w:szCs w:val="21"/>
              </w:rPr>
            </w:pPr>
          </w:p>
        </w:tc>
        <w:tc>
          <w:tcPr>
            <w:tcW w:w="8499" w:type="dxa"/>
            <w:vAlign w:val="center"/>
          </w:tcPr>
          <w:p>
            <w:pPr>
              <w:spacing w:line="300" w:lineRule="exact"/>
              <w:jc w:val="left"/>
              <w:rPr>
                <w:rFonts w:ascii="仿宋_GB2312" w:hAnsi="仿宋_GB2312" w:eastAsia="仿宋_GB2312" w:cs="仿宋_GB2312"/>
                <w:spacing w:val="-10"/>
                <w:szCs w:val="21"/>
              </w:rPr>
            </w:pPr>
            <w:r>
              <w:rPr>
                <w:rFonts w:hint="eastAsia" w:ascii="仿宋_GB2312" w:hAnsi="仿宋_GB2312" w:eastAsia="仿宋_GB2312" w:cs="仿宋_GB2312"/>
                <w:spacing w:val="-10"/>
                <w:szCs w:val="21"/>
              </w:rPr>
              <w:t>与德国相关高校、企业、商会合作，建设混合所有制二级学院----中德智能制造学院。争取我院获批招收外国来华留学生资质。积极参与海外职业技术学院和校区建设，争取与韩国金泉大学共建我院海外分校，与成山集团合作建设“成山学院”泰国培训基地。申报与韩国信韩大学就大数据与会计专业开展中外合作办学，争取与德国柏林BBW应用技术大学就机电一体化、船舶工程等专业开展中外合作办学，与英国、日本、马来西亚等国家的高校开展电子商务、食品检验检测技术等相关专业的国际交流合作。积极参与“</w:t>
            </w:r>
            <w:bookmarkStart w:id="0" w:name="_GoBack"/>
            <w:r>
              <w:rPr>
                <w:rFonts w:hint="eastAsia" w:ascii="仿宋_GB2312" w:hAnsi="仿宋_GB2312" w:eastAsia="仿宋_GB2312" w:cs="仿宋_GB2312"/>
                <w:spacing w:val="-10"/>
                <w:szCs w:val="21"/>
              </w:rPr>
              <w:t>一带一路</w:t>
            </w:r>
            <w:bookmarkEnd w:id="0"/>
            <w:r>
              <w:rPr>
                <w:rFonts w:hint="eastAsia" w:ascii="仿宋_GB2312" w:hAnsi="仿宋_GB2312" w:eastAsia="仿宋_GB2312" w:cs="仿宋_GB2312"/>
                <w:spacing w:val="-10"/>
                <w:szCs w:val="21"/>
              </w:rPr>
              <w:t>”</w:t>
            </w:r>
            <w:r>
              <w:rPr>
                <w:rFonts w:hint="eastAsia" w:ascii="仿宋_GB2312" w:hAnsi="仿宋_GB2312" w:eastAsia="仿宋_GB2312" w:cs="仿宋_GB2312"/>
                <w:spacing w:val="-10"/>
                <w:szCs w:val="21"/>
                <w:lang w:eastAsia="zh-CN"/>
              </w:rPr>
              <w:t>倡议</w:t>
            </w:r>
            <w:r>
              <w:rPr>
                <w:rFonts w:hint="eastAsia" w:ascii="仿宋_GB2312" w:hAnsi="仿宋_GB2312" w:eastAsia="仿宋_GB2312" w:cs="仿宋_GB2312"/>
                <w:spacing w:val="-10"/>
                <w:szCs w:val="21"/>
              </w:rPr>
              <w:t>实施，争取2名教师、10名以上学生赴韩国、泰国等地学习交流，促进中外人文交流。积极参加鲁台职业教育交流活动，增进两岸职业教育的学术交流与合作。</w:t>
            </w:r>
          </w:p>
        </w:tc>
        <w:tc>
          <w:tcPr>
            <w:tcW w:w="1315" w:type="dxa"/>
            <w:vAlign w:val="center"/>
          </w:tcPr>
          <w:p>
            <w:pPr>
              <w:spacing w:line="300" w:lineRule="exact"/>
              <w:jc w:val="center"/>
              <w:rPr>
                <w:rFonts w:ascii="仿宋_GB2312" w:hAnsi="仿宋_GB2312" w:eastAsia="仿宋_GB2312" w:cs="仿宋_GB2312"/>
                <w:szCs w:val="21"/>
              </w:rPr>
            </w:pPr>
            <w:r>
              <w:rPr>
                <w:rFonts w:ascii="仿宋_GB2312" w:hAnsi="仿宋_GB2312" w:eastAsia="仿宋_GB2312" w:cs="仿宋_GB2312"/>
                <w:szCs w:val="21"/>
              </w:rPr>
              <w:t>对外合作处</w:t>
            </w:r>
          </w:p>
        </w:tc>
        <w:tc>
          <w:tcPr>
            <w:tcW w:w="1706" w:type="dxa"/>
            <w:vAlign w:val="center"/>
          </w:tcPr>
          <w:p>
            <w:pPr>
              <w:spacing w:line="240" w:lineRule="exact"/>
              <w:jc w:val="center"/>
              <w:rPr>
                <w:rFonts w:ascii="仿宋_GB2312" w:hAnsi="仿宋_GB2312" w:eastAsia="仿宋_GB2312" w:cs="仿宋_GB2312"/>
                <w:szCs w:val="21"/>
              </w:rPr>
            </w:pPr>
            <w:r>
              <w:rPr>
                <w:rFonts w:ascii="仿宋_GB2312" w:hAnsi="仿宋_GB2312" w:eastAsia="仿宋_GB2312" w:cs="仿宋_GB2312"/>
                <w:szCs w:val="21"/>
              </w:rPr>
              <w:t>各系</w:t>
            </w:r>
          </w:p>
        </w:tc>
        <w:tc>
          <w:tcPr>
            <w:tcW w:w="1138" w:type="dxa"/>
            <w:vAlign w:val="center"/>
          </w:tcPr>
          <w:p>
            <w:pPr>
              <w:spacing w:line="300" w:lineRule="exact"/>
              <w:jc w:val="center"/>
              <w:rPr>
                <w:rFonts w:ascii="仿宋_GB2312" w:hAnsi="仿宋_GB2312" w:eastAsia="仿宋_GB2312" w:cs="仿宋_GB2312"/>
                <w:szCs w:val="21"/>
              </w:rPr>
            </w:pPr>
            <w:r>
              <w:rPr>
                <w:rFonts w:ascii="仿宋_GB2312" w:hAnsi="仿宋_GB2312" w:eastAsia="仿宋_GB2312" w:cs="仿宋_GB2312"/>
                <w:szCs w:val="21"/>
              </w:rPr>
              <w:t>侯仕营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962" w:type="dxa"/>
            <w:vMerge w:val="continue"/>
            <w:vAlign w:val="center"/>
          </w:tcPr>
          <w:p>
            <w:pPr>
              <w:spacing w:line="280" w:lineRule="exact"/>
              <w:jc w:val="center"/>
              <w:rPr>
                <w:rFonts w:ascii="仿宋_GB2312" w:hAnsi="仿宋_GB2312" w:eastAsia="仿宋_GB2312" w:cs="仿宋_GB2312"/>
                <w:szCs w:val="21"/>
              </w:rPr>
            </w:pPr>
          </w:p>
        </w:tc>
        <w:tc>
          <w:tcPr>
            <w:tcW w:w="995" w:type="dxa"/>
            <w:vMerge w:val="restart"/>
            <w:vAlign w:val="center"/>
          </w:tcPr>
          <w:p>
            <w:pPr>
              <w:spacing w:line="280" w:lineRule="exact"/>
              <w:jc w:val="center"/>
              <w:rPr>
                <w:rFonts w:ascii="仿宋_GB2312" w:hAnsi="仿宋_GB2312" w:eastAsia="仿宋_GB2312" w:cs="仿宋_GB2312"/>
                <w:szCs w:val="21"/>
              </w:rPr>
            </w:pPr>
            <w:r>
              <w:rPr>
                <w:rFonts w:hint="eastAsia" w:ascii="仿宋_GB2312" w:hAnsi="仿宋_GB2312" w:eastAsia="仿宋_GB2312" w:cs="仿宋_GB2312"/>
                <w:szCs w:val="21"/>
              </w:rPr>
              <w:t>23.推进更高水平的社会服务。</w:t>
            </w:r>
          </w:p>
        </w:tc>
        <w:tc>
          <w:tcPr>
            <w:tcW w:w="8499" w:type="dxa"/>
            <w:vAlign w:val="center"/>
          </w:tcPr>
          <w:p>
            <w:pPr>
              <w:spacing w:line="300" w:lineRule="exact"/>
              <w:jc w:val="left"/>
              <w:rPr>
                <w:rFonts w:ascii="仿宋_GB2312" w:hAnsi="仿宋_GB2312" w:eastAsia="仿宋_GB2312" w:cs="仿宋_GB2312"/>
                <w:szCs w:val="21"/>
              </w:rPr>
            </w:pPr>
            <w:r>
              <w:rPr>
                <w:rFonts w:hint="eastAsia" w:ascii="仿宋_GB2312" w:hAnsi="仿宋_GB2312" w:eastAsia="仿宋_GB2312" w:cs="仿宋_GB2312"/>
                <w:szCs w:val="21"/>
              </w:rPr>
              <w:t>积极参与职业教育赋能产业转型升级系列行动，建设省、市级科技攻关创新团队，完成省、市级技术应用研发项目和横向课题技术应用研究项目，加强研究成果推广应用，加大对横向经费到款额和科技成果转化到款额考核力度。</w:t>
            </w:r>
          </w:p>
        </w:tc>
        <w:tc>
          <w:tcPr>
            <w:tcW w:w="1315" w:type="dxa"/>
            <w:vAlign w:val="center"/>
          </w:tcPr>
          <w:p>
            <w:pPr>
              <w:spacing w:line="300" w:lineRule="exact"/>
              <w:jc w:val="center"/>
              <w:rPr>
                <w:rFonts w:ascii="仿宋_GB2312" w:hAnsi="仿宋_GB2312" w:eastAsia="仿宋_GB2312" w:cs="仿宋_GB2312"/>
                <w:szCs w:val="21"/>
              </w:rPr>
            </w:pPr>
            <w:r>
              <w:rPr>
                <w:rFonts w:ascii="仿宋_GB2312" w:hAnsi="仿宋_GB2312" w:eastAsia="仿宋_GB2312" w:cs="仿宋_GB2312"/>
                <w:szCs w:val="21"/>
              </w:rPr>
              <w:t>科研处</w:t>
            </w:r>
          </w:p>
        </w:tc>
        <w:tc>
          <w:tcPr>
            <w:tcW w:w="1706" w:type="dxa"/>
            <w:vAlign w:val="center"/>
          </w:tcPr>
          <w:p>
            <w:pPr>
              <w:spacing w:line="240" w:lineRule="exact"/>
              <w:jc w:val="center"/>
              <w:rPr>
                <w:rFonts w:ascii="仿宋_GB2312" w:hAnsi="仿宋_GB2312" w:eastAsia="仿宋_GB2312" w:cs="仿宋_GB2312"/>
                <w:szCs w:val="21"/>
              </w:rPr>
            </w:pPr>
            <w:r>
              <w:rPr>
                <w:rFonts w:ascii="仿宋_GB2312" w:hAnsi="仿宋_GB2312" w:eastAsia="仿宋_GB2312" w:cs="仿宋_GB2312"/>
                <w:szCs w:val="21"/>
              </w:rPr>
              <w:t>各系</w:t>
            </w:r>
          </w:p>
        </w:tc>
        <w:tc>
          <w:tcPr>
            <w:tcW w:w="1138" w:type="dxa"/>
            <w:vAlign w:val="center"/>
          </w:tcPr>
          <w:p>
            <w:pPr>
              <w:spacing w:line="300" w:lineRule="exact"/>
              <w:jc w:val="center"/>
              <w:rPr>
                <w:rFonts w:ascii="仿宋_GB2312" w:hAnsi="仿宋_GB2312" w:eastAsia="仿宋_GB2312" w:cs="仿宋_GB2312"/>
                <w:szCs w:val="21"/>
              </w:rPr>
            </w:pPr>
            <w:r>
              <w:rPr>
                <w:rFonts w:ascii="仿宋_GB2312" w:hAnsi="仿宋_GB2312" w:eastAsia="仿宋_GB2312" w:cs="仿宋_GB2312"/>
                <w:szCs w:val="21"/>
              </w:rPr>
              <w:t>张华清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962" w:type="dxa"/>
            <w:vMerge w:val="continue"/>
            <w:vAlign w:val="center"/>
          </w:tcPr>
          <w:p>
            <w:pPr>
              <w:spacing w:line="280" w:lineRule="exact"/>
              <w:jc w:val="center"/>
              <w:rPr>
                <w:rFonts w:ascii="仿宋_GB2312" w:hAnsi="仿宋_GB2312" w:eastAsia="仿宋_GB2312" w:cs="仿宋_GB2312"/>
                <w:szCs w:val="21"/>
              </w:rPr>
            </w:pPr>
          </w:p>
        </w:tc>
        <w:tc>
          <w:tcPr>
            <w:tcW w:w="995" w:type="dxa"/>
            <w:vMerge w:val="continue"/>
            <w:vAlign w:val="center"/>
          </w:tcPr>
          <w:p>
            <w:pPr>
              <w:spacing w:line="280" w:lineRule="exact"/>
              <w:jc w:val="center"/>
              <w:rPr>
                <w:rFonts w:ascii="仿宋_GB2312" w:hAnsi="仿宋_GB2312" w:eastAsia="仿宋_GB2312" w:cs="仿宋_GB2312"/>
                <w:szCs w:val="21"/>
              </w:rPr>
            </w:pPr>
          </w:p>
        </w:tc>
        <w:tc>
          <w:tcPr>
            <w:tcW w:w="8499" w:type="dxa"/>
            <w:vAlign w:val="center"/>
          </w:tcPr>
          <w:p>
            <w:pPr>
              <w:spacing w:line="300" w:lineRule="exact"/>
              <w:jc w:val="left"/>
              <w:rPr>
                <w:rFonts w:ascii="仿宋_GB2312" w:hAnsi="仿宋_GB2312" w:eastAsia="仿宋_GB2312" w:cs="仿宋_GB2312"/>
                <w:szCs w:val="21"/>
              </w:rPr>
            </w:pPr>
            <w:r>
              <w:rPr>
                <w:rFonts w:hint="eastAsia" w:ascii="仿宋_GB2312" w:hAnsi="仿宋_GB2312" w:eastAsia="仿宋_GB2312" w:cs="仿宋_GB2312"/>
                <w:szCs w:val="21"/>
              </w:rPr>
              <w:t>新增发明专利授权9项，有效发明专利拥有量达到18项，取得市厅级科技成果奖1项，联合申报省级科技成果奖1项。</w:t>
            </w:r>
          </w:p>
        </w:tc>
        <w:tc>
          <w:tcPr>
            <w:tcW w:w="1315" w:type="dxa"/>
            <w:vAlign w:val="center"/>
          </w:tcPr>
          <w:p>
            <w:pPr>
              <w:spacing w:line="300" w:lineRule="exact"/>
              <w:jc w:val="center"/>
              <w:rPr>
                <w:rFonts w:ascii="仿宋_GB2312" w:hAnsi="仿宋_GB2312" w:eastAsia="仿宋_GB2312" w:cs="仿宋_GB2312"/>
                <w:szCs w:val="21"/>
              </w:rPr>
            </w:pPr>
            <w:r>
              <w:rPr>
                <w:rFonts w:ascii="仿宋_GB2312" w:hAnsi="仿宋_GB2312" w:eastAsia="仿宋_GB2312" w:cs="仿宋_GB2312"/>
                <w:szCs w:val="21"/>
              </w:rPr>
              <w:t>科研处</w:t>
            </w:r>
          </w:p>
        </w:tc>
        <w:tc>
          <w:tcPr>
            <w:tcW w:w="1706" w:type="dxa"/>
            <w:vAlign w:val="center"/>
          </w:tcPr>
          <w:p>
            <w:pPr>
              <w:spacing w:line="240" w:lineRule="exact"/>
              <w:jc w:val="center"/>
              <w:rPr>
                <w:rFonts w:ascii="仿宋_GB2312" w:hAnsi="仿宋_GB2312" w:eastAsia="仿宋_GB2312" w:cs="仿宋_GB2312"/>
                <w:szCs w:val="21"/>
              </w:rPr>
            </w:pPr>
            <w:r>
              <w:rPr>
                <w:rFonts w:ascii="仿宋_GB2312" w:hAnsi="仿宋_GB2312" w:eastAsia="仿宋_GB2312" w:cs="仿宋_GB2312"/>
                <w:szCs w:val="21"/>
              </w:rPr>
              <w:t>各处室（馆、中心）、系部</w:t>
            </w:r>
          </w:p>
        </w:tc>
        <w:tc>
          <w:tcPr>
            <w:tcW w:w="1138" w:type="dxa"/>
            <w:vAlign w:val="center"/>
          </w:tcPr>
          <w:p>
            <w:pPr>
              <w:spacing w:line="300" w:lineRule="exact"/>
              <w:jc w:val="center"/>
              <w:rPr>
                <w:rFonts w:ascii="仿宋_GB2312" w:hAnsi="仿宋_GB2312" w:eastAsia="仿宋_GB2312" w:cs="仿宋_GB2312"/>
                <w:szCs w:val="21"/>
              </w:rPr>
            </w:pPr>
            <w:r>
              <w:rPr>
                <w:rFonts w:ascii="仿宋_GB2312" w:hAnsi="仿宋_GB2312" w:eastAsia="仿宋_GB2312" w:cs="仿宋_GB2312"/>
                <w:szCs w:val="21"/>
              </w:rPr>
              <w:t>张华清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trPr>
        <w:tc>
          <w:tcPr>
            <w:tcW w:w="962" w:type="dxa"/>
            <w:vMerge w:val="continue"/>
            <w:vAlign w:val="center"/>
          </w:tcPr>
          <w:p>
            <w:pPr>
              <w:spacing w:line="280" w:lineRule="exact"/>
              <w:jc w:val="center"/>
              <w:rPr>
                <w:rFonts w:ascii="仿宋_GB2312" w:hAnsi="仿宋_GB2312" w:eastAsia="仿宋_GB2312" w:cs="仿宋_GB2312"/>
                <w:szCs w:val="21"/>
              </w:rPr>
            </w:pPr>
          </w:p>
        </w:tc>
        <w:tc>
          <w:tcPr>
            <w:tcW w:w="995" w:type="dxa"/>
            <w:vMerge w:val="continue"/>
            <w:vAlign w:val="center"/>
          </w:tcPr>
          <w:p>
            <w:pPr>
              <w:spacing w:line="280" w:lineRule="exact"/>
              <w:jc w:val="center"/>
              <w:rPr>
                <w:rFonts w:ascii="仿宋_GB2312" w:hAnsi="仿宋_GB2312" w:eastAsia="仿宋_GB2312" w:cs="仿宋_GB2312"/>
                <w:szCs w:val="21"/>
              </w:rPr>
            </w:pPr>
          </w:p>
        </w:tc>
        <w:tc>
          <w:tcPr>
            <w:tcW w:w="8499" w:type="dxa"/>
            <w:vAlign w:val="center"/>
          </w:tcPr>
          <w:p>
            <w:pPr>
              <w:spacing w:line="300" w:lineRule="exact"/>
              <w:jc w:val="left"/>
              <w:rPr>
                <w:rFonts w:ascii="仿宋_GB2312" w:hAnsi="仿宋_GB2312" w:eastAsia="仿宋_GB2312" w:cs="仿宋_GB2312"/>
                <w:szCs w:val="21"/>
              </w:rPr>
            </w:pPr>
            <w:r>
              <w:rPr>
                <w:rFonts w:hint="eastAsia" w:ascii="仿宋_GB2312" w:hAnsi="仿宋_GB2312" w:eastAsia="仿宋_GB2312" w:cs="仿宋_GB2312"/>
                <w:szCs w:val="21"/>
              </w:rPr>
              <w:t>构建完备的社会培训服务体系，组织开展安全生产、创新创业、再就业、电商运营、红色教育、传统文化、农村劳动力转移和技能扶贫等培训和现代农民培育，计划培训培育各类人员约9000人次，争创全省助力“八大战略”示范校。取得“金蓝领”、职业技能社会评价机构等培训资质，开展好技能鉴定和证书发放工作。</w:t>
            </w:r>
          </w:p>
        </w:tc>
        <w:tc>
          <w:tcPr>
            <w:tcW w:w="1315" w:type="dxa"/>
            <w:vAlign w:val="center"/>
          </w:tcPr>
          <w:p>
            <w:pPr>
              <w:spacing w:line="300" w:lineRule="exact"/>
              <w:jc w:val="center"/>
              <w:rPr>
                <w:rFonts w:ascii="仿宋_GB2312" w:hAnsi="仿宋_GB2312" w:eastAsia="仿宋_GB2312" w:cs="仿宋_GB2312"/>
                <w:szCs w:val="21"/>
              </w:rPr>
            </w:pPr>
            <w:r>
              <w:rPr>
                <w:rFonts w:ascii="仿宋_GB2312" w:hAnsi="仿宋_GB2312" w:eastAsia="仿宋_GB2312" w:cs="仿宋_GB2312"/>
                <w:szCs w:val="21"/>
              </w:rPr>
              <w:t>培训服务中心</w:t>
            </w:r>
          </w:p>
        </w:tc>
        <w:tc>
          <w:tcPr>
            <w:tcW w:w="1706" w:type="dxa"/>
            <w:vAlign w:val="center"/>
          </w:tcPr>
          <w:p>
            <w:pPr>
              <w:spacing w:line="240" w:lineRule="exact"/>
              <w:jc w:val="center"/>
              <w:rPr>
                <w:rFonts w:ascii="仿宋_GB2312" w:hAnsi="仿宋_GB2312" w:eastAsia="仿宋_GB2312" w:cs="仿宋_GB2312"/>
                <w:szCs w:val="21"/>
              </w:rPr>
            </w:pPr>
            <w:r>
              <w:rPr>
                <w:rFonts w:ascii="仿宋_GB2312" w:hAnsi="仿宋_GB2312" w:eastAsia="仿宋_GB2312" w:cs="仿宋_GB2312"/>
                <w:szCs w:val="21"/>
              </w:rPr>
              <w:t>招生就业处、各系</w:t>
            </w:r>
          </w:p>
        </w:tc>
        <w:tc>
          <w:tcPr>
            <w:tcW w:w="1138" w:type="dxa"/>
            <w:vAlign w:val="center"/>
          </w:tcPr>
          <w:p>
            <w:pPr>
              <w:spacing w:line="300" w:lineRule="exact"/>
              <w:jc w:val="center"/>
              <w:rPr>
                <w:rFonts w:ascii="仿宋_GB2312" w:hAnsi="仿宋_GB2312" w:eastAsia="仿宋_GB2312" w:cs="仿宋_GB2312"/>
                <w:szCs w:val="21"/>
              </w:rPr>
            </w:pPr>
            <w:r>
              <w:rPr>
                <w:rFonts w:ascii="仿宋_GB2312" w:hAnsi="仿宋_GB2312" w:eastAsia="仿宋_GB2312" w:cs="仿宋_GB2312"/>
                <w:szCs w:val="21"/>
              </w:rPr>
              <w:t>王保卫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962" w:type="dxa"/>
            <w:vMerge w:val="continue"/>
            <w:vAlign w:val="center"/>
          </w:tcPr>
          <w:p>
            <w:pPr>
              <w:spacing w:line="280" w:lineRule="exact"/>
              <w:jc w:val="center"/>
              <w:rPr>
                <w:rFonts w:ascii="仿宋_GB2312" w:hAnsi="仿宋_GB2312" w:eastAsia="仿宋_GB2312" w:cs="仿宋_GB2312"/>
                <w:szCs w:val="21"/>
              </w:rPr>
            </w:pPr>
          </w:p>
        </w:tc>
        <w:tc>
          <w:tcPr>
            <w:tcW w:w="995" w:type="dxa"/>
            <w:vMerge w:val="continue"/>
            <w:vAlign w:val="center"/>
          </w:tcPr>
          <w:p>
            <w:pPr>
              <w:spacing w:line="280" w:lineRule="exact"/>
              <w:jc w:val="center"/>
              <w:rPr>
                <w:rFonts w:ascii="仿宋_GB2312" w:hAnsi="仿宋_GB2312" w:eastAsia="仿宋_GB2312" w:cs="仿宋_GB2312"/>
                <w:szCs w:val="21"/>
              </w:rPr>
            </w:pPr>
          </w:p>
        </w:tc>
        <w:tc>
          <w:tcPr>
            <w:tcW w:w="8499" w:type="dxa"/>
            <w:vAlign w:val="center"/>
          </w:tcPr>
          <w:p>
            <w:pPr>
              <w:spacing w:line="300" w:lineRule="exact"/>
              <w:jc w:val="left"/>
              <w:rPr>
                <w:rFonts w:ascii="仿宋_GB2312" w:hAnsi="仿宋_GB2312" w:eastAsia="仿宋_GB2312" w:cs="仿宋_GB2312"/>
                <w:szCs w:val="21"/>
              </w:rPr>
            </w:pPr>
            <w:r>
              <w:rPr>
                <w:rFonts w:hint="eastAsia" w:ascii="仿宋_GB2312" w:hAnsi="仿宋_GB2312" w:eastAsia="仿宋_GB2312" w:cs="仿宋_GB2312"/>
                <w:szCs w:val="21"/>
              </w:rPr>
              <w:t>运营好威海市海洋生物健康促进中心，最大化释放服务社会职能，争创省级健康促进中心。</w:t>
            </w:r>
          </w:p>
        </w:tc>
        <w:tc>
          <w:tcPr>
            <w:tcW w:w="1315" w:type="dxa"/>
            <w:vAlign w:val="center"/>
          </w:tcPr>
          <w:p>
            <w:pPr>
              <w:spacing w:line="300" w:lineRule="exact"/>
              <w:jc w:val="center"/>
              <w:rPr>
                <w:rFonts w:ascii="仿宋_GB2312" w:hAnsi="仿宋_GB2312" w:eastAsia="仿宋_GB2312" w:cs="仿宋_GB2312"/>
                <w:szCs w:val="21"/>
              </w:rPr>
            </w:pPr>
            <w:r>
              <w:rPr>
                <w:rFonts w:ascii="仿宋_GB2312" w:hAnsi="仿宋_GB2312" w:eastAsia="仿宋_GB2312" w:cs="仿宋_GB2312"/>
                <w:szCs w:val="21"/>
              </w:rPr>
              <w:t>海洋生物与医药系</w:t>
            </w:r>
          </w:p>
        </w:tc>
        <w:tc>
          <w:tcPr>
            <w:tcW w:w="1706" w:type="dxa"/>
            <w:vAlign w:val="center"/>
          </w:tcPr>
          <w:p>
            <w:pPr>
              <w:spacing w:line="240" w:lineRule="exact"/>
              <w:jc w:val="center"/>
              <w:rPr>
                <w:rFonts w:ascii="仿宋_GB2312" w:hAnsi="仿宋_GB2312" w:eastAsia="仿宋_GB2312" w:cs="仿宋_GB2312"/>
                <w:szCs w:val="21"/>
              </w:rPr>
            </w:pPr>
          </w:p>
        </w:tc>
        <w:tc>
          <w:tcPr>
            <w:tcW w:w="1138" w:type="dxa"/>
            <w:vAlign w:val="center"/>
          </w:tcPr>
          <w:p>
            <w:pPr>
              <w:spacing w:line="300" w:lineRule="exact"/>
              <w:jc w:val="center"/>
              <w:rPr>
                <w:rFonts w:ascii="仿宋_GB2312" w:hAnsi="仿宋_GB2312" w:eastAsia="仿宋_GB2312" w:cs="仿宋_GB2312"/>
                <w:szCs w:val="21"/>
              </w:rPr>
            </w:pPr>
            <w:r>
              <w:rPr>
                <w:rFonts w:ascii="仿宋_GB2312" w:hAnsi="仿宋_GB2312" w:eastAsia="仿宋_GB2312" w:cs="仿宋_GB2312"/>
                <w:szCs w:val="21"/>
              </w:rPr>
              <w:t>刘振华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962" w:type="dxa"/>
            <w:vMerge w:val="restart"/>
            <w:vAlign w:val="center"/>
          </w:tcPr>
          <w:p>
            <w:pPr>
              <w:spacing w:line="280" w:lineRule="exact"/>
              <w:jc w:val="center"/>
              <w:rPr>
                <w:rFonts w:ascii="仿宋_GB2312" w:hAnsi="仿宋_GB2312" w:eastAsia="仿宋_GB2312" w:cs="仿宋_GB2312"/>
                <w:szCs w:val="21"/>
              </w:rPr>
            </w:pPr>
            <w:r>
              <w:rPr>
                <w:rFonts w:hint="eastAsia" w:ascii="仿宋_GB2312" w:hAnsi="仿宋_GB2312" w:eastAsia="仿宋_GB2312" w:cs="仿宋_GB2312"/>
                <w:szCs w:val="21"/>
              </w:rPr>
              <w:t>六、坚定不移抓好管理服务，全力创设良好发展环境。</w:t>
            </w:r>
          </w:p>
        </w:tc>
        <w:tc>
          <w:tcPr>
            <w:tcW w:w="995" w:type="dxa"/>
            <w:vMerge w:val="restart"/>
            <w:vAlign w:val="center"/>
          </w:tcPr>
          <w:p>
            <w:pPr>
              <w:spacing w:line="280" w:lineRule="exact"/>
              <w:jc w:val="center"/>
              <w:rPr>
                <w:rFonts w:ascii="仿宋_GB2312" w:hAnsi="仿宋_GB2312" w:eastAsia="仿宋_GB2312" w:cs="仿宋_GB2312"/>
                <w:szCs w:val="21"/>
              </w:rPr>
            </w:pPr>
            <w:r>
              <w:rPr>
                <w:rFonts w:hint="eastAsia" w:ascii="仿宋_GB2312" w:hAnsi="仿宋_GB2312" w:eastAsia="仿宋_GB2312" w:cs="仿宋_GB2312"/>
                <w:szCs w:val="21"/>
              </w:rPr>
              <w:t>24.抓好常态化疫情防控。</w:t>
            </w:r>
          </w:p>
        </w:tc>
        <w:tc>
          <w:tcPr>
            <w:tcW w:w="8499" w:type="dxa"/>
            <w:vAlign w:val="center"/>
          </w:tcPr>
          <w:p>
            <w:pPr>
              <w:spacing w:line="300" w:lineRule="exact"/>
              <w:jc w:val="left"/>
              <w:rPr>
                <w:rFonts w:ascii="仿宋_GB2312" w:hAnsi="仿宋_GB2312" w:eastAsia="仿宋_GB2312" w:cs="仿宋_GB2312"/>
                <w:szCs w:val="21"/>
              </w:rPr>
            </w:pPr>
            <w:r>
              <w:rPr>
                <w:rFonts w:hint="eastAsia" w:ascii="仿宋_GB2312" w:hAnsi="仿宋_GB2312" w:eastAsia="仿宋_GB2312" w:cs="仿宋_GB2312"/>
                <w:szCs w:val="21"/>
              </w:rPr>
              <w:t>编制和完善好方案、预案、制度。</w:t>
            </w:r>
          </w:p>
        </w:tc>
        <w:tc>
          <w:tcPr>
            <w:tcW w:w="1315" w:type="dxa"/>
            <w:vAlign w:val="center"/>
          </w:tcPr>
          <w:p>
            <w:pPr>
              <w:spacing w:line="300" w:lineRule="exact"/>
              <w:jc w:val="center"/>
              <w:rPr>
                <w:rFonts w:ascii="仿宋_GB2312" w:hAnsi="仿宋_GB2312" w:eastAsia="仿宋_GB2312" w:cs="仿宋_GB2312"/>
                <w:szCs w:val="21"/>
              </w:rPr>
            </w:pPr>
            <w:r>
              <w:rPr>
                <w:rFonts w:ascii="仿宋_GB2312" w:hAnsi="仿宋_GB2312" w:eastAsia="仿宋_GB2312" w:cs="仿宋_GB2312"/>
                <w:szCs w:val="21"/>
              </w:rPr>
              <w:t>党政办</w:t>
            </w:r>
          </w:p>
        </w:tc>
        <w:tc>
          <w:tcPr>
            <w:tcW w:w="1706" w:type="dxa"/>
            <w:vAlign w:val="center"/>
          </w:tcPr>
          <w:p>
            <w:pPr>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各处室（馆、中心）、系部</w:t>
            </w:r>
          </w:p>
        </w:tc>
        <w:tc>
          <w:tcPr>
            <w:tcW w:w="1138" w:type="dxa"/>
            <w:vAlign w:val="center"/>
          </w:tcPr>
          <w:p>
            <w:pPr>
              <w:spacing w:line="300" w:lineRule="exact"/>
              <w:jc w:val="center"/>
              <w:rPr>
                <w:rFonts w:ascii="仿宋_GB2312" w:hAnsi="仿宋_GB2312" w:eastAsia="仿宋_GB2312" w:cs="仿宋_GB2312"/>
                <w:szCs w:val="21"/>
              </w:rPr>
            </w:pPr>
            <w:r>
              <w:rPr>
                <w:rFonts w:ascii="仿宋_GB2312" w:hAnsi="仿宋_GB2312" w:eastAsia="仿宋_GB2312" w:cs="仿宋_GB2312"/>
                <w:szCs w:val="21"/>
              </w:rPr>
              <w:t>郭文安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trPr>
        <w:tc>
          <w:tcPr>
            <w:tcW w:w="962" w:type="dxa"/>
            <w:vMerge w:val="continue"/>
            <w:vAlign w:val="center"/>
          </w:tcPr>
          <w:p>
            <w:pPr>
              <w:spacing w:line="280" w:lineRule="exact"/>
              <w:jc w:val="center"/>
              <w:rPr>
                <w:rFonts w:ascii="仿宋_GB2312" w:hAnsi="仿宋_GB2312" w:eastAsia="仿宋_GB2312" w:cs="仿宋_GB2312"/>
                <w:szCs w:val="21"/>
              </w:rPr>
            </w:pPr>
          </w:p>
        </w:tc>
        <w:tc>
          <w:tcPr>
            <w:tcW w:w="995" w:type="dxa"/>
            <w:vMerge w:val="continue"/>
            <w:vAlign w:val="center"/>
          </w:tcPr>
          <w:p>
            <w:pPr>
              <w:spacing w:line="280" w:lineRule="exact"/>
              <w:jc w:val="center"/>
              <w:rPr>
                <w:rFonts w:ascii="仿宋_GB2312" w:hAnsi="仿宋_GB2312" w:eastAsia="仿宋_GB2312" w:cs="仿宋_GB2312"/>
                <w:szCs w:val="21"/>
              </w:rPr>
            </w:pPr>
          </w:p>
        </w:tc>
        <w:tc>
          <w:tcPr>
            <w:tcW w:w="8499" w:type="dxa"/>
            <w:vAlign w:val="center"/>
          </w:tcPr>
          <w:p>
            <w:pPr>
              <w:spacing w:line="300" w:lineRule="exact"/>
              <w:jc w:val="left"/>
              <w:rPr>
                <w:rFonts w:ascii="仿宋_GB2312" w:hAnsi="仿宋_GB2312" w:eastAsia="仿宋_GB2312" w:cs="仿宋_GB2312"/>
                <w:szCs w:val="21"/>
              </w:rPr>
            </w:pPr>
            <w:r>
              <w:rPr>
                <w:rFonts w:hint="eastAsia" w:ascii="仿宋_GB2312" w:hAnsi="仿宋_GB2312" w:eastAsia="仿宋_GB2312" w:cs="仿宋_GB2312"/>
                <w:szCs w:val="21"/>
              </w:rPr>
              <w:t>加强与卫生健康、市场监管、公安、医疗等部门的联系，健全联防联控机制。</w:t>
            </w:r>
          </w:p>
        </w:tc>
        <w:tc>
          <w:tcPr>
            <w:tcW w:w="1315" w:type="dxa"/>
            <w:vAlign w:val="center"/>
          </w:tcPr>
          <w:p>
            <w:pPr>
              <w:spacing w:line="300" w:lineRule="exact"/>
              <w:jc w:val="center"/>
              <w:rPr>
                <w:rFonts w:ascii="仿宋_GB2312" w:hAnsi="仿宋_GB2312" w:eastAsia="仿宋_GB2312" w:cs="仿宋_GB2312"/>
                <w:szCs w:val="21"/>
              </w:rPr>
            </w:pPr>
            <w:r>
              <w:rPr>
                <w:rFonts w:ascii="仿宋_GB2312" w:hAnsi="仿宋_GB2312" w:eastAsia="仿宋_GB2312" w:cs="仿宋_GB2312"/>
                <w:szCs w:val="21"/>
              </w:rPr>
              <w:t>后勤基建处</w:t>
            </w:r>
          </w:p>
        </w:tc>
        <w:tc>
          <w:tcPr>
            <w:tcW w:w="1706" w:type="dxa"/>
            <w:vAlign w:val="center"/>
          </w:tcPr>
          <w:p>
            <w:pPr>
              <w:spacing w:line="240" w:lineRule="exact"/>
              <w:jc w:val="center"/>
              <w:rPr>
                <w:rFonts w:ascii="仿宋_GB2312" w:hAnsi="仿宋_GB2312" w:eastAsia="仿宋_GB2312" w:cs="仿宋_GB2312"/>
                <w:szCs w:val="21"/>
              </w:rPr>
            </w:pPr>
          </w:p>
        </w:tc>
        <w:tc>
          <w:tcPr>
            <w:tcW w:w="1138" w:type="dxa"/>
            <w:vAlign w:val="center"/>
          </w:tcPr>
          <w:p>
            <w:pPr>
              <w:spacing w:line="300" w:lineRule="exact"/>
              <w:jc w:val="center"/>
              <w:rPr>
                <w:rFonts w:ascii="仿宋_GB2312" w:hAnsi="仿宋_GB2312" w:eastAsia="仿宋_GB2312" w:cs="仿宋_GB2312"/>
                <w:szCs w:val="21"/>
              </w:rPr>
            </w:pPr>
            <w:r>
              <w:rPr>
                <w:rFonts w:ascii="仿宋_GB2312" w:hAnsi="仿宋_GB2312" w:eastAsia="仿宋_GB2312" w:cs="仿宋_GB2312"/>
                <w:szCs w:val="21"/>
              </w:rPr>
              <w:t>丁文献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962" w:type="dxa"/>
            <w:vMerge w:val="continue"/>
            <w:vAlign w:val="center"/>
          </w:tcPr>
          <w:p>
            <w:pPr>
              <w:spacing w:line="280" w:lineRule="exact"/>
              <w:jc w:val="center"/>
              <w:rPr>
                <w:rFonts w:ascii="仿宋_GB2312" w:hAnsi="仿宋_GB2312" w:eastAsia="仿宋_GB2312" w:cs="仿宋_GB2312"/>
                <w:szCs w:val="21"/>
              </w:rPr>
            </w:pPr>
          </w:p>
        </w:tc>
        <w:tc>
          <w:tcPr>
            <w:tcW w:w="995" w:type="dxa"/>
            <w:vMerge w:val="continue"/>
            <w:vAlign w:val="center"/>
          </w:tcPr>
          <w:p>
            <w:pPr>
              <w:spacing w:line="280" w:lineRule="exact"/>
              <w:jc w:val="center"/>
              <w:rPr>
                <w:rFonts w:ascii="仿宋_GB2312" w:hAnsi="仿宋_GB2312" w:eastAsia="仿宋_GB2312" w:cs="仿宋_GB2312"/>
                <w:szCs w:val="21"/>
              </w:rPr>
            </w:pPr>
          </w:p>
        </w:tc>
        <w:tc>
          <w:tcPr>
            <w:tcW w:w="8499" w:type="dxa"/>
            <w:vAlign w:val="center"/>
          </w:tcPr>
          <w:p>
            <w:pPr>
              <w:spacing w:line="300" w:lineRule="exact"/>
              <w:jc w:val="left"/>
              <w:rPr>
                <w:rFonts w:ascii="仿宋_GB2312" w:hAnsi="仿宋_GB2312" w:eastAsia="仿宋_GB2312" w:cs="仿宋_GB2312"/>
                <w:szCs w:val="21"/>
              </w:rPr>
            </w:pPr>
            <w:r>
              <w:rPr>
                <w:rFonts w:hint="eastAsia" w:ascii="仿宋_GB2312" w:hAnsi="仿宋_GB2312" w:eastAsia="仿宋_GB2312" w:cs="仿宋_GB2312"/>
                <w:szCs w:val="21"/>
              </w:rPr>
              <w:t>加强对人员全面摸排并建立健康台账，重点做好“四类人群”摸排检测，落实食堂涉冷链食品人员定期检测要求，做到发热人员“应检尽检”。加强校园相对封闭管理，严格落实出入“测温+健康码”、“一日三检”、“日报告、零报告”、</w:t>
            </w:r>
            <w:r>
              <w:rPr>
                <w:rFonts w:hint="eastAsia" w:ascii="仿宋_GB2312" w:hAnsi="仿宋_GB2312" w:eastAsia="仿宋_GB2312" w:cs="仿宋_GB2312"/>
                <w:spacing w:val="-12"/>
                <w:szCs w:val="21"/>
              </w:rPr>
              <w:t>缺课登记追踪和报告等制度。</w:t>
            </w:r>
          </w:p>
        </w:tc>
        <w:tc>
          <w:tcPr>
            <w:tcW w:w="1315" w:type="dxa"/>
            <w:vAlign w:val="center"/>
          </w:tcPr>
          <w:p>
            <w:pPr>
              <w:spacing w:line="300" w:lineRule="exact"/>
              <w:jc w:val="center"/>
              <w:rPr>
                <w:rFonts w:ascii="仿宋_GB2312" w:hAnsi="仿宋_GB2312" w:eastAsia="仿宋_GB2312" w:cs="仿宋_GB2312"/>
                <w:szCs w:val="21"/>
              </w:rPr>
            </w:pPr>
            <w:r>
              <w:rPr>
                <w:rFonts w:ascii="仿宋_GB2312" w:hAnsi="仿宋_GB2312" w:eastAsia="仿宋_GB2312" w:cs="仿宋_GB2312"/>
                <w:szCs w:val="21"/>
              </w:rPr>
              <w:t>后勤基建处</w:t>
            </w:r>
          </w:p>
        </w:tc>
        <w:tc>
          <w:tcPr>
            <w:tcW w:w="1706" w:type="dxa"/>
            <w:vAlign w:val="center"/>
          </w:tcPr>
          <w:p>
            <w:pPr>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各处室（馆、中心）、系部</w:t>
            </w:r>
          </w:p>
        </w:tc>
        <w:tc>
          <w:tcPr>
            <w:tcW w:w="1138" w:type="dxa"/>
            <w:vAlign w:val="center"/>
          </w:tcPr>
          <w:p>
            <w:pPr>
              <w:spacing w:line="300" w:lineRule="exact"/>
              <w:jc w:val="center"/>
              <w:rPr>
                <w:rFonts w:ascii="仿宋_GB2312" w:hAnsi="仿宋_GB2312" w:eastAsia="仿宋_GB2312" w:cs="仿宋_GB2312"/>
                <w:szCs w:val="21"/>
              </w:rPr>
            </w:pPr>
            <w:r>
              <w:rPr>
                <w:rFonts w:ascii="仿宋_GB2312" w:hAnsi="仿宋_GB2312" w:eastAsia="仿宋_GB2312" w:cs="仿宋_GB2312"/>
                <w:szCs w:val="21"/>
              </w:rPr>
              <w:t>丁文献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962" w:type="dxa"/>
            <w:vMerge w:val="continue"/>
            <w:vAlign w:val="center"/>
          </w:tcPr>
          <w:p>
            <w:pPr>
              <w:spacing w:line="280" w:lineRule="exact"/>
              <w:jc w:val="center"/>
              <w:rPr>
                <w:rFonts w:ascii="仿宋_GB2312" w:hAnsi="仿宋_GB2312" w:eastAsia="仿宋_GB2312" w:cs="仿宋_GB2312"/>
                <w:szCs w:val="21"/>
              </w:rPr>
            </w:pPr>
          </w:p>
        </w:tc>
        <w:tc>
          <w:tcPr>
            <w:tcW w:w="995" w:type="dxa"/>
            <w:vMerge w:val="continue"/>
            <w:vAlign w:val="center"/>
          </w:tcPr>
          <w:p>
            <w:pPr>
              <w:spacing w:line="280" w:lineRule="exact"/>
              <w:jc w:val="center"/>
              <w:rPr>
                <w:rFonts w:ascii="仿宋_GB2312" w:hAnsi="仿宋_GB2312" w:eastAsia="仿宋_GB2312" w:cs="仿宋_GB2312"/>
                <w:szCs w:val="21"/>
              </w:rPr>
            </w:pPr>
          </w:p>
        </w:tc>
        <w:tc>
          <w:tcPr>
            <w:tcW w:w="8499" w:type="dxa"/>
            <w:vAlign w:val="center"/>
          </w:tcPr>
          <w:p>
            <w:pPr>
              <w:spacing w:line="300" w:lineRule="exact"/>
              <w:jc w:val="left"/>
              <w:rPr>
                <w:rFonts w:ascii="仿宋_GB2312" w:hAnsi="仿宋_GB2312" w:eastAsia="仿宋_GB2312" w:cs="仿宋_GB2312"/>
                <w:szCs w:val="21"/>
              </w:rPr>
            </w:pPr>
            <w:r>
              <w:rPr>
                <w:rFonts w:hint="eastAsia" w:ascii="仿宋_GB2312" w:hAnsi="仿宋_GB2312" w:eastAsia="仿宋_GB2312" w:cs="仿宋_GB2312"/>
                <w:szCs w:val="21"/>
              </w:rPr>
              <w:t>科学安排教育教学活动。</w:t>
            </w:r>
          </w:p>
        </w:tc>
        <w:tc>
          <w:tcPr>
            <w:tcW w:w="1315" w:type="dxa"/>
            <w:vAlign w:val="center"/>
          </w:tcPr>
          <w:p>
            <w:pPr>
              <w:spacing w:line="300" w:lineRule="exact"/>
              <w:jc w:val="center"/>
              <w:rPr>
                <w:rFonts w:ascii="仿宋_GB2312" w:hAnsi="仿宋_GB2312" w:eastAsia="仿宋_GB2312" w:cs="仿宋_GB2312"/>
                <w:szCs w:val="21"/>
              </w:rPr>
            </w:pPr>
            <w:r>
              <w:rPr>
                <w:rFonts w:ascii="仿宋_GB2312" w:hAnsi="仿宋_GB2312" w:eastAsia="仿宋_GB2312" w:cs="仿宋_GB2312"/>
                <w:szCs w:val="21"/>
              </w:rPr>
              <w:t>教务处</w:t>
            </w:r>
          </w:p>
        </w:tc>
        <w:tc>
          <w:tcPr>
            <w:tcW w:w="1706" w:type="dxa"/>
            <w:vAlign w:val="center"/>
          </w:tcPr>
          <w:p>
            <w:pPr>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各处室（馆、中心）、系部</w:t>
            </w:r>
          </w:p>
        </w:tc>
        <w:tc>
          <w:tcPr>
            <w:tcW w:w="1138" w:type="dxa"/>
            <w:vAlign w:val="center"/>
          </w:tcPr>
          <w:p>
            <w:pPr>
              <w:spacing w:line="300" w:lineRule="exact"/>
              <w:jc w:val="center"/>
              <w:rPr>
                <w:rFonts w:ascii="仿宋_GB2312" w:hAnsi="仿宋_GB2312" w:eastAsia="仿宋_GB2312" w:cs="仿宋_GB2312"/>
                <w:szCs w:val="21"/>
              </w:rPr>
            </w:pPr>
            <w:r>
              <w:rPr>
                <w:rFonts w:ascii="仿宋_GB2312" w:hAnsi="仿宋_GB2312" w:eastAsia="仿宋_GB2312" w:cs="仿宋_GB2312"/>
                <w:szCs w:val="21"/>
              </w:rPr>
              <w:t>于春晓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962" w:type="dxa"/>
            <w:vMerge w:val="continue"/>
            <w:vAlign w:val="center"/>
          </w:tcPr>
          <w:p>
            <w:pPr>
              <w:spacing w:line="280" w:lineRule="exact"/>
              <w:jc w:val="center"/>
              <w:rPr>
                <w:rFonts w:ascii="仿宋_GB2312" w:hAnsi="仿宋_GB2312" w:eastAsia="仿宋_GB2312" w:cs="仿宋_GB2312"/>
                <w:szCs w:val="21"/>
              </w:rPr>
            </w:pPr>
          </w:p>
        </w:tc>
        <w:tc>
          <w:tcPr>
            <w:tcW w:w="995" w:type="dxa"/>
            <w:vMerge w:val="restart"/>
            <w:vAlign w:val="center"/>
          </w:tcPr>
          <w:p>
            <w:pPr>
              <w:spacing w:line="280" w:lineRule="exact"/>
              <w:jc w:val="center"/>
              <w:rPr>
                <w:rFonts w:ascii="仿宋_GB2312" w:hAnsi="仿宋_GB2312" w:eastAsia="仿宋_GB2312" w:cs="仿宋_GB2312"/>
                <w:szCs w:val="21"/>
              </w:rPr>
            </w:pPr>
            <w:r>
              <w:rPr>
                <w:rFonts w:hint="eastAsia" w:ascii="仿宋_GB2312" w:hAnsi="仿宋_GB2312" w:eastAsia="仿宋_GB2312" w:cs="仿宋_GB2312"/>
                <w:szCs w:val="21"/>
              </w:rPr>
              <w:t>25.抓好校园安全稳定。</w:t>
            </w:r>
          </w:p>
        </w:tc>
        <w:tc>
          <w:tcPr>
            <w:tcW w:w="8499" w:type="dxa"/>
            <w:vAlign w:val="center"/>
          </w:tcPr>
          <w:p>
            <w:pPr>
              <w:spacing w:line="300" w:lineRule="exact"/>
              <w:jc w:val="left"/>
              <w:rPr>
                <w:rFonts w:ascii="仿宋_GB2312" w:hAnsi="仿宋_GB2312" w:eastAsia="仿宋_GB2312" w:cs="仿宋_GB2312"/>
                <w:szCs w:val="21"/>
              </w:rPr>
            </w:pPr>
            <w:r>
              <w:rPr>
                <w:rFonts w:hint="eastAsia" w:ascii="仿宋_GB2312" w:hAnsi="仿宋_GB2312" w:eastAsia="仿宋_GB2312" w:cs="仿宋_GB2312"/>
                <w:szCs w:val="21"/>
              </w:rPr>
              <w:t>全面落实安全生产责任制，完善源头防控体系，深入开展安全教育和应急演练，强化专项教育和治理，坚决防止各类安全事故的发生。</w:t>
            </w:r>
          </w:p>
        </w:tc>
        <w:tc>
          <w:tcPr>
            <w:tcW w:w="1315" w:type="dxa"/>
            <w:vAlign w:val="center"/>
          </w:tcPr>
          <w:p>
            <w:pPr>
              <w:spacing w:line="300" w:lineRule="exact"/>
              <w:jc w:val="center"/>
              <w:rPr>
                <w:rFonts w:ascii="仿宋_GB2312" w:hAnsi="仿宋_GB2312" w:eastAsia="仿宋_GB2312" w:cs="仿宋_GB2312"/>
                <w:szCs w:val="21"/>
              </w:rPr>
            </w:pPr>
            <w:r>
              <w:rPr>
                <w:rFonts w:ascii="仿宋_GB2312" w:hAnsi="仿宋_GB2312" w:eastAsia="仿宋_GB2312" w:cs="仿宋_GB2312"/>
                <w:szCs w:val="21"/>
              </w:rPr>
              <w:t>后勤基建处</w:t>
            </w:r>
          </w:p>
        </w:tc>
        <w:tc>
          <w:tcPr>
            <w:tcW w:w="1706" w:type="dxa"/>
            <w:vAlign w:val="center"/>
          </w:tcPr>
          <w:p>
            <w:pPr>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各处室（馆、中心）、系部</w:t>
            </w:r>
          </w:p>
        </w:tc>
        <w:tc>
          <w:tcPr>
            <w:tcW w:w="1138" w:type="dxa"/>
            <w:vAlign w:val="center"/>
          </w:tcPr>
          <w:p>
            <w:pPr>
              <w:spacing w:line="300" w:lineRule="exact"/>
              <w:jc w:val="center"/>
              <w:rPr>
                <w:rFonts w:ascii="仿宋_GB2312" w:hAnsi="仿宋_GB2312" w:eastAsia="仿宋_GB2312" w:cs="仿宋_GB2312"/>
                <w:szCs w:val="21"/>
              </w:rPr>
            </w:pPr>
            <w:r>
              <w:rPr>
                <w:rFonts w:ascii="仿宋_GB2312" w:hAnsi="仿宋_GB2312" w:eastAsia="仿宋_GB2312" w:cs="仿宋_GB2312"/>
                <w:szCs w:val="21"/>
              </w:rPr>
              <w:t>丁文献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962" w:type="dxa"/>
            <w:vMerge w:val="continue"/>
            <w:vAlign w:val="center"/>
          </w:tcPr>
          <w:p>
            <w:pPr>
              <w:spacing w:line="280" w:lineRule="exact"/>
              <w:jc w:val="center"/>
              <w:rPr>
                <w:rFonts w:ascii="仿宋_GB2312" w:hAnsi="仿宋_GB2312" w:eastAsia="仿宋_GB2312" w:cs="仿宋_GB2312"/>
                <w:szCs w:val="21"/>
              </w:rPr>
            </w:pPr>
          </w:p>
        </w:tc>
        <w:tc>
          <w:tcPr>
            <w:tcW w:w="995" w:type="dxa"/>
            <w:vMerge w:val="continue"/>
            <w:vAlign w:val="center"/>
          </w:tcPr>
          <w:p>
            <w:pPr>
              <w:spacing w:line="280" w:lineRule="exact"/>
              <w:jc w:val="center"/>
              <w:rPr>
                <w:rFonts w:ascii="仿宋_GB2312" w:hAnsi="仿宋_GB2312" w:eastAsia="仿宋_GB2312" w:cs="仿宋_GB2312"/>
                <w:szCs w:val="21"/>
              </w:rPr>
            </w:pPr>
          </w:p>
        </w:tc>
        <w:tc>
          <w:tcPr>
            <w:tcW w:w="8499" w:type="dxa"/>
            <w:vAlign w:val="center"/>
          </w:tcPr>
          <w:p>
            <w:pPr>
              <w:spacing w:line="300" w:lineRule="exact"/>
              <w:jc w:val="left"/>
              <w:rPr>
                <w:rFonts w:ascii="仿宋_GB2312" w:hAnsi="仿宋_GB2312" w:eastAsia="仿宋_GB2312" w:cs="仿宋_GB2312"/>
                <w:szCs w:val="21"/>
              </w:rPr>
            </w:pPr>
            <w:r>
              <w:rPr>
                <w:rFonts w:hint="eastAsia" w:ascii="仿宋_GB2312" w:hAnsi="仿宋_GB2312" w:eastAsia="仿宋_GB2312" w:cs="仿宋_GB2312"/>
                <w:szCs w:val="21"/>
              </w:rPr>
              <w:t>加强新闻宣传工作，提高舆情应对处置能力。</w:t>
            </w:r>
          </w:p>
        </w:tc>
        <w:tc>
          <w:tcPr>
            <w:tcW w:w="1315" w:type="dxa"/>
            <w:vAlign w:val="center"/>
          </w:tcPr>
          <w:p>
            <w:pPr>
              <w:spacing w:line="300" w:lineRule="exact"/>
              <w:jc w:val="center"/>
              <w:rPr>
                <w:rFonts w:ascii="仿宋_GB2312" w:hAnsi="仿宋_GB2312" w:eastAsia="仿宋_GB2312" w:cs="仿宋_GB2312"/>
                <w:szCs w:val="21"/>
              </w:rPr>
            </w:pPr>
            <w:r>
              <w:rPr>
                <w:rFonts w:ascii="仿宋_GB2312" w:hAnsi="仿宋_GB2312" w:eastAsia="仿宋_GB2312" w:cs="仿宋_GB2312"/>
                <w:szCs w:val="21"/>
              </w:rPr>
              <w:t>宣传部</w:t>
            </w:r>
          </w:p>
        </w:tc>
        <w:tc>
          <w:tcPr>
            <w:tcW w:w="1706" w:type="dxa"/>
            <w:vAlign w:val="center"/>
          </w:tcPr>
          <w:p>
            <w:pPr>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党政办</w:t>
            </w:r>
          </w:p>
        </w:tc>
        <w:tc>
          <w:tcPr>
            <w:tcW w:w="1138" w:type="dxa"/>
            <w:vAlign w:val="center"/>
          </w:tcPr>
          <w:p>
            <w:pPr>
              <w:spacing w:line="300" w:lineRule="exact"/>
              <w:jc w:val="center"/>
              <w:rPr>
                <w:rFonts w:ascii="仿宋_GB2312" w:hAnsi="仿宋_GB2312" w:eastAsia="仿宋_GB2312" w:cs="仿宋_GB2312"/>
                <w:szCs w:val="21"/>
              </w:rPr>
            </w:pPr>
            <w:r>
              <w:rPr>
                <w:rFonts w:ascii="仿宋_GB2312" w:hAnsi="仿宋_GB2312" w:eastAsia="仿宋_GB2312" w:cs="仿宋_GB2312"/>
                <w:szCs w:val="21"/>
              </w:rPr>
              <w:t>陈</w:t>
            </w:r>
            <w:r>
              <w:rPr>
                <w:rFonts w:hint="eastAsia" w:ascii="仿宋_GB2312" w:hAnsi="仿宋_GB2312" w:eastAsia="仿宋_GB2312" w:cs="仿宋_GB2312"/>
                <w:szCs w:val="21"/>
              </w:rPr>
              <w:t xml:space="preserve">  </w:t>
            </w:r>
            <w:r>
              <w:rPr>
                <w:rFonts w:ascii="仿宋_GB2312" w:hAnsi="仿宋_GB2312" w:eastAsia="仿宋_GB2312" w:cs="仿宋_GB2312"/>
                <w:szCs w:val="21"/>
              </w:rPr>
              <w:t>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962" w:type="dxa"/>
            <w:vMerge w:val="continue"/>
            <w:vAlign w:val="center"/>
          </w:tcPr>
          <w:p>
            <w:pPr>
              <w:spacing w:line="280" w:lineRule="exact"/>
              <w:jc w:val="center"/>
              <w:rPr>
                <w:rFonts w:ascii="仿宋_GB2312" w:hAnsi="仿宋_GB2312" w:eastAsia="仿宋_GB2312" w:cs="仿宋_GB2312"/>
                <w:szCs w:val="21"/>
              </w:rPr>
            </w:pPr>
          </w:p>
        </w:tc>
        <w:tc>
          <w:tcPr>
            <w:tcW w:w="995" w:type="dxa"/>
            <w:vMerge w:val="continue"/>
            <w:vAlign w:val="center"/>
          </w:tcPr>
          <w:p>
            <w:pPr>
              <w:spacing w:line="280" w:lineRule="exact"/>
              <w:jc w:val="center"/>
              <w:rPr>
                <w:rFonts w:ascii="仿宋_GB2312" w:hAnsi="仿宋_GB2312" w:eastAsia="仿宋_GB2312" w:cs="仿宋_GB2312"/>
                <w:szCs w:val="21"/>
              </w:rPr>
            </w:pPr>
          </w:p>
        </w:tc>
        <w:tc>
          <w:tcPr>
            <w:tcW w:w="8499" w:type="dxa"/>
            <w:vAlign w:val="center"/>
          </w:tcPr>
          <w:p>
            <w:pPr>
              <w:spacing w:line="300" w:lineRule="exact"/>
              <w:jc w:val="left"/>
              <w:rPr>
                <w:rFonts w:ascii="仿宋_GB2312" w:hAnsi="仿宋_GB2312" w:eastAsia="仿宋_GB2312" w:cs="仿宋_GB2312"/>
                <w:szCs w:val="21"/>
              </w:rPr>
            </w:pPr>
            <w:r>
              <w:rPr>
                <w:rFonts w:hint="eastAsia" w:ascii="仿宋_GB2312" w:hAnsi="仿宋_GB2312" w:eastAsia="仿宋_GB2312" w:cs="仿宋_GB2312"/>
                <w:szCs w:val="21"/>
              </w:rPr>
              <w:t>全面落实信访安全责任制，做好重点信访群体稳控工作。</w:t>
            </w:r>
          </w:p>
        </w:tc>
        <w:tc>
          <w:tcPr>
            <w:tcW w:w="1315" w:type="dxa"/>
            <w:vAlign w:val="center"/>
          </w:tcPr>
          <w:p>
            <w:pPr>
              <w:spacing w:line="300" w:lineRule="exact"/>
              <w:jc w:val="center"/>
              <w:rPr>
                <w:rFonts w:ascii="仿宋_GB2312" w:hAnsi="仿宋_GB2312" w:eastAsia="仿宋_GB2312" w:cs="仿宋_GB2312"/>
                <w:szCs w:val="21"/>
              </w:rPr>
            </w:pPr>
            <w:r>
              <w:rPr>
                <w:rFonts w:ascii="仿宋_GB2312" w:hAnsi="仿宋_GB2312" w:eastAsia="仿宋_GB2312" w:cs="仿宋_GB2312"/>
                <w:szCs w:val="21"/>
              </w:rPr>
              <w:t>党政办</w:t>
            </w:r>
          </w:p>
        </w:tc>
        <w:tc>
          <w:tcPr>
            <w:tcW w:w="1706" w:type="dxa"/>
            <w:vAlign w:val="center"/>
          </w:tcPr>
          <w:p>
            <w:pPr>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各处室（馆、中心）、系部</w:t>
            </w:r>
          </w:p>
        </w:tc>
        <w:tc>
          <w:tcPr>
            <w:tcW w:w="1138" w:type="dxa"/>
            <w:vAlign w:val="center"/>
          </w:tcPr>
          <w:p>
            <w:pPr>
              <w:spacing w:line="300" w:lineRule="exact"/>
              <w:jc w:val="center"/>
              <w:rPr>
                <w:rFonts w:ascii="仿宋_GB2312" w:hAnsi="仿宋_GB2312" w:eastAsia="仿宋_GB2312" w:cs="仿宋_GB2312"/>
                <w:szCs w:val="21"/>
              </w:rPr>
            </w:pPr>
            <w:r>
              <w:rPr>
                <w:rFonts w:ascii="仿宋_GB2312" w:hAnsi="仿宋_GB2312" w:eastAsia="仿宋_GB2312" w:cs="仿宋_GB2312"/>
                <w:szCs w:val="21"/>
              </w:rPr>
              <w:t>郭文安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962" w:type="dxa"/>
            <w:vMerge w:val="continue"/>
            <w:vAlign w:val="center"/>
          </w:tcPr>
          <w:p>
            <w:pPr>
              <w:spacing w:line="280" w:lineRule="exact"/>
              <w:jc w:val="center"/>
              <w:rPr>
                <w:rFonts w:ascii="仿宋_GB2312" w:hAnsi="仿宋_GB2312" w:eastAsia="仿宋_GB2312" w:cs="仿宋_GB2312"/>
                <w:szCs w:val="21"/>
              </w:rPr>
            </w:pPr>
          </w:p>
        </w:tc>
        <w:tc>
          <w:tcPr>
            <w:tcW w:w="995" w:type="dxa"/>
            <w:vMerge w:val="continue"/>
            <w:vAlign w:val="center"/>
          </w:tcPr>
          <w:p>
            <w:pPr>
              <w:spacing w:line="280" w:lineRule="exact"/>
              <w:jc w:val="center"/>
              <w:rPr>
                <w:rFonts w:ascii="仿宋_GB2312" w:hAnsi="仿宋_GB2312" w:eastAsia="仿宋_GB2312" w:cs="仿宋_GB2312"/>
                <w:szCs w:val="21"/>
              </w:rPr>
            </w:pPr>
          </w:p>
        </w:tc>
        <w:tc>
          <w:tcPr>
            <w:tcW w:w="8499" w:type="dxa"/>
            <w:vAlign w:val="center"/>
          </w:tcPr>
          <w:p>
            <w:pPr>
              <w:spacing w:line="300" w:lineRule="exact"/>
              <w:jc w:val="left"/>
              <w:rPr>
                <w:rFonts w:ascii="仿宋_GB2312" w:hAnsi="仿宋_GB2312" w:eastAsia="仿宋_GB2312" w:cs="仿宋_GB2312"/>
                <w:szCs w:val="21"/>
              </w:rPr>
            </w:pPr>
            <w:r>
              <w:rPr>
                <w:rFonts w:hint="eastAsia" w:ascii="仿宋_GB2312" w:hAnsi="仿宋_GB2312" w:eastAsia="仿宋_GB2312" w:cs="仿宋_GB2312"/>
                <w:szCs w:val="21"/>
              </w:rPr>
              <w:t>全面落实网络安全责任制，切实提升网络安全防护和应急处置能力。</w:t>
            </w:r>
          </w:p>
        </w:tc>
        <w:tc>
          <w:tcPr>
            <w:tcW w:w="1315" w:type="dxa"/>
            <w:vAlign w:val="center"/>
          </w:tcPr>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网络信息中心</w:t>
            </w:r>
          </w:p>
        </w:tc>
        <w:tc>
          <w:tcPr>
            <w:tcW w:w="1706" w:type="dxa"/>
            <w:vAlign w:val="center"/>
          </w:tcPr>
          <w:p>
            <w:pPr>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各处室（馆、中心）、系部</w:t>
            </w:r>
          </w:p>
        </w:tc>
        <w:tc>
          <w:tcPr>
            <w:tcW w:w="1138" w:type="dxa"/>
            <w:vAlign w:val="center"/>
          </w:tcPr>
          <w:p>
            <w:pPr>
              <w:spacing w:line="300" w:lineRule="exact"/>
              <w:jc w:val="center"/>
              <w:rPr>
                <w:rFonts w:ascii="仿宋_GB2312" w:hAnsi="仿宋_GB2312" w:eastAsia="仿宋_GB2312" w:cs="仿宋_GB2312"/>
                <w:szCs w:val="21"/>
              </w:rPr>
            </w:pPr>
            <w:r>
              <w:rPr>
                <w:rFonts w:ascii="仿宋_GB2312" w:hAnsi="仿宋_GB2312" w:eastAsia="仿宋_GB2312" w:cs="仿宋_GB2312"/>
                <w:szCs w:val="21"/>
              </w:rPr>
              <w:t>杨</w:t>
            </w:r>
            <w:r>
              <w:rPr>
                <w:rFonts w:hint="eastAsia" w:ascii="仿宋_GB2312" w:hAnsi="仿宋_GB2312" w:eastAsia="仿宋_GB2312" w:cs="仿宋_GB2312"/>
                <w:szCs w:val="21"/>
              </w:rPr>
              <w:t xml:space="preserve">  </w:t>
            </w:r>
            <w:r>
              <w:rPr>
                <w:rFonts w:ascii="仿宋_GB2312" w:hAnsi="仿宋_GB2312" w:eastAsia="仿宋_GB2312" w:cs="仿宋_GB2312"/>
                <w:szCs w:val="21"/>
              </w:rPr>
              <w:t>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962" w:type="dxa"/>
            <w:vMerge w:val="continue"/>
            <w:vAlign w:val="center"/>
          </w:tcPr>
          <w:p>
            <w:pPr>
              <w:spacing w:line="280" w:lineRule="exact"/>
              <w:jc w:val="center"/>
              <w:rPr>
                <w:rFonts w:ascii="仿宋_GB2312" w:hAnsi="仿宋_GB2312" w:eastAsia="仿宋_GB2312" w:cs="仿宋_GB2312"/>
                <w:szCs w:val="21"/>
              </w:rPr>
            </w:pPr>
          </w:p>
        </w:tc>
        <w:tc>
          <w:tcPr>
            <w:tcW w:w="995" w:type="dxa"/>
            <w:vMerge w:val="restart"/>
            <w:vAlign w:val="center"/>
          </w:tcPr>
          <w:p>
            <w:pPr>
              <w:spacing w:line="280" w:lineRule="exact"/>
              <w:jc w:val="center"/>
              <w:rPr>
                <w:rFonts w:ascii="仿宋_GB2312" w:hAnsi="仿宋_GB2312" w:eastAsia="仿宋_GB2312" w:cs="仿宋_GB2312"/>
                <w:szCs w:val="21"/>
              </w:rPr>
            </w:pPr>
            <w:r>
              <w:rPr>
                <w:rFonts w:hint="eastAsia" w:ascii="仿宋_GB2312" w:hAnsi="仿宋_GB2312" w:eastAsia="仿宋_GB2312" w:cs="仿宋_GB2312"/>
                <w:szCs w:val="21"/>
              </w:rPr>
              <w:t>26.抓好办学条件优化。</w:t>
            </w:r>
          </w:p>
        </w:tc>
        <w:tc>
          <w:tcPr>
            <w:tcW w:w="8499" w:type="dxa"/>
            <w:vAlign w:val="center"/>
          </w:tcPr>
          <w:p>
            <w:pPr>
              <w:spacing w:line="300" w:lineRule="exact"/>
              <w:jc w:val="left"/>
              <w:rPr>
                <w:rFonts w:ascii="仿宋_GB2312" w:hAnsi="仿宋_GB2312" w:eastAsia="仿宋_GB2312" w:cs="仿宋_GB2312"/>
                <w:szCs w:val="21"/>
              </w:rPr>
            </w:pPr>
            <w:r>
              <w:rPr>
                <w:rFonts w:hint="eastAsia" w:ascii="仿宋_GB2312" w:hAnsi="仿宋_GB2312" w:eastAsia="仿宋_GB2312" w:cs="仿宋_GB2312"/>
                <w:szCs w:val="21"/>
              </w:rPr>
              <w:t>深化精致校园建设，持续实施校园绿化、美化、亮化提升工程。优质高效推进较大维修改造项目。</w:t>
            </w:r>
          </w:p>
        </w:tc>
        <w:tc>
          <w:tcPr>
            <w:tcW w:w="1315" w:type="dxa"/>
            <w:vAlign w:val="center"/>
          </w:tcPr>
          <w:p>
            <w:pPr>
              <w:spacing w:line="300" w:lineRule="exact"/>
              <w:jc w:val="center"/>
              <w:rPr>
                <w:rFonts w:ascii="仿宋_GB2312" w:hAnsi="仿宋_GB2312" w:eastAsia="仿宋_GB2312" w:cs="仿宋_GB2312"/>
                <w:szCs w:val="21"/>
              </w:rPr>
            </w:pPr>
            <w:r>
              <w:rPr>
                <w:rFonts w:ascii="仿宋_GB2312" w:hAnsi="仿宋_GB2312" w:eastAsia="仿宋_GB2312" w:cs="仿宋_GB2312"/>
                <w:szCs w:val="21"/>
              </w:rPr>
              <w:t>后勤基建处</w:t>
            </w:r>
          </w:p>
        </w:tc>
        <w:tc>
          <w:tcPr>
            <w:tcW w:w="1706" w:type="dxa"/>
            <w:vAlign w:val="center"/>
          </w:tcPr>
          <w:p>
            <w:pPr>
              <w:spacing w:line="240" w:lineRule="exact"/>
              <w:jc w:val="center"/>
              <w:rPr>
                <w:rFonts w:ascii="仿宋_GB2312" w:hAnsi="仿宋_GB2312" w:eastAsia="仿宋_GB2312" w:cs="仿宋_GB2312"/>
                <w:szCs w:val="21"/>
              </w:rPr>
            </w:pPr>
          </w:p>
        </w:tc>
        <w:tc>
          <w:tcPr>
            <w:tcW w:w="1138" w:type="dxa"/>
            <w:vAlign w:val="center"/>
          </w:tcPr>
          <w:p>
            <w:pPr>
              <w:spacing w:line="300" w:lineRule="exact"/>
              <w:jc w:val="center"/>
              <w:rPr>
                <w:rFonts w:ascii="仿宋_GB2312" w:hAnsi="仿宋_GB2312" w:eastAsia="仿宋_GB2312" w:cs="仿宋_GB2312"/>
                <w:szCs w:val="21"/>
              </w:rPr>
            </w:pPr>
            <w:r>
              <w:rPr>
                <w:rFonts w:ascii="仿宋_GB2312" w:hAnsi="仿宋_GB2312" w:eastAsia="仿宋_GB2312" w:cs="仿宋_GB2312"/>
                <w:szCs w:val="21"/>
              </w:rPr>
              <w:t>丁文献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962" w:type="dxa"/>
            <w:vMerge w:val="continue"/>
            <w:vAlign w:val="center"/>
          </w:tcPr>
          <w:p>
            <w:pPr>
              <w:spacing w:line="280" w:lineRule="exact"/>
              <w:jc w:val="center"/>
              <w:rPr>
                <w:rFonts w:ascii="仿宋_GB2312" w:hAnsi="仿宋_GB2312" w:eastAsia="仿宋_GB2312" w:cs="仿宋_GB2312"/>
                <w:szCs w:val="21"/>
              </w:rPr>
            </w:pPr>
          </w:p>
        </w:tc>
        <w:tc>
          <w:tcPr>
            <w:tcW w:w="995" w:type="dxa"/>
            <w:vMerge w:val="continue"/>
            <w:vAlign w:val="center"/>
          </w:tcPr>
          <w:p>
            <w:pPr>
              <w:spacing w:line="280" w:lineRule="exact"/>
              <w:jc w:val="center"/>
              <w:rPr>
                <w:rFonts w:ascii="仿宋_GB2312" w:hAnsi="仿宋_GB2312" w:eastAsia="仿宋_GB2312" w:cs="仿宋_GB2312"/>
                <w:szCs w:val="21"/>
              </w:rPr>
            </w:pPr>
          </w:p>
        </w:tc>
        <w:tc>
          <w:tcPr>
            <w:tcW w:w="8499" w:type="dxa"/>
            <w:vAlign w:val="center"/>
          </w:tcPr>
          <w:p>
            <w:pPr>
              <w:spacing w:line="300" w:lineRule="exact"/>
              <w:jc w:val="left"/>
              <w:rPr>
                <w:rFonts w:ascii="仿宋_GB2312" w:hAnsi="仿宋_GB2312" w:eastAsia="仿宋_GB2312" w:cs="仿宋_GB2312"/>
                <w:szCs w:val="21"/>
              </w:rPr>
            </w:pPr>
            <w:r>
              <w:rPr>
                <w:rFonts w:hint="eastAsia" w:ascii="仿宋_GB2312" w:hAnsi="仿宋_GB2312" w:eastAsia="仿宋_GB2312" w:cs="仿宋_GB2312"/>
                <w:szCs w:val="21"/>
              </w:rPr>
              <w:t>成立项目一期建设工作专班，高标准、高质量推进威海现代海洋协同创新公共实训基地建设。</w:t>
            </w:r>
          </w:p>
        </w:tc>
        <w:tc>
          <w:tcPr>
            <w:tcW w:w="1315" w:type="dxa"/>
            <w:vAlign w:val="center"/>
          </w:tcPr>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后勤基建处</w:t>
            </w:r>
          </w:p>
        </w:tc>
        <w:tc>
          <w:tcPr>
            <w:tcW w:w="1706" w:type="dxa"/>
            <w:vAlign w:val="center"/>
          </w:tcPr>
          <w:p>
            <w:pPr>
              <w:spacing w:line="240" w:lineRule="exact"/>
              <w:jc w:val="center"/>
              <w:rPr>
                <w:rFonts w:ascii="仿宋_GB2312" w:hAnsi="仿宋_GB2312" w:eastAsia="仿宋_GB2312" w:cs="仿宋_GB2312"/>
                <w:szCs w:val="21"/>
              </w:rPr>
            </w:pPr>
            <w:r>
              <w:rPr>
                <w:rFonts w:ascii="仿宋_GB2312" w:hAnsi="仿宋_GB2312" w:eastAsia="仿宋_GB2312" w:cs="仿宋_GB2312"/>
                <w:szCs w:val="21"/>
              </w:rPr>
              <w:t>财务资产处</w:t>
            </w:r>
          </w:p>
        </w:tc>
        <w:tc>
          <w:tcPr>
            <w:tcW w:w="1138" w:type="dxa"/>
            <w:vAlign w:val="center"/>
          </w:tcPr>
          <w:p>
            <w:pPr>
              <w:spacing w:line="300" w:lineRule="exact"/>
              <w:jc w:val="center"/>
              <w:rPr>
                <w:rFonts w:ascii="仿宋_GB2312" w:hAnsi="仿宋_GB2312" w:eastAsia="仿宋_GB2312" w:cs="仿宋_GB2312"/>
                <w:szCs w:val="21"/>
              </w:rPr>
            </w:pPr>
            <w:r>
              <w:rPr>
                <w:rFonts w:ascii="仿宋_GB2312" w:hAnsi="仿宋_GB2312" w:eastAsia="仿宋_GB2312" w:cs="仿宋_GB2312"/>
                <w:szCs w:val="21"/>
              </w:rPr>
              <w:t>丁文献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962" w:type="dxa"/>
            <w:vMerge w:val="continue"/>
            <w:vAlign w:val="center"/>
          </w:tcPr>
          <w:p>
            <w:pPr>
              <w:spacing w:line="280" w:lineRule="exact"/>
              <w:jc w:val="center"/>
              <w:rPr>
                <w:rFonts w:ascii="仿宋_GB2312" w:hAnsi="仿宋_GB2312" w:eastAsia="仿宋_GB2312" w:cs="仿宋_GB2312"/>
                <w:szCs w:val="21"/>
              </w:rPr>
            </w:pPr>
          </w:p>
        </w:tc>
        <w:tc>
          <w:tcPr>
            <w:tcW w:w="995" w:type="dxa"/>
            <w:vMerge w:val="continue"/>
            <w:vAlign w:val="center"/>
          </w:tcPr>
          <w:p>
            <w:pPr>
              <w:spacing w:line="280" w:lineRule="exact"/>
              <w:jc w:val="center"/>
              <w:rPr>
                <w:rFonts w:ascii="仿宋_GB2312" w:hAnsi="仿宋_GB2312" w:eastAsia="仿宋_GB2312" w:cs="仿宋_GB2312"/>
                <w:szCs w:val="21"/>
              </w:rPr>
            </w:pPr>
          </w:p>
        </w:tc>
        <w:tc>
          <w:tcPr>
            <w:tcW w:w="8499" w:type="dxa"/>
            <w:vAlign w:val="center"/>
          </w:tcPr>
          <w:p>
            <w:pPr>
              <w:spacing w:line="300" w:lineRule="exact"/>
              <w:jc w:val="left"/>
              <w:rPr>
                <w:rFonts w:ascii="仿宋_GB2312" w:hAnsi="仿宋_GB2312" w:eastAsia="仿宋_GB2312" w:cs="仿宋_GB2312"/>
                <w:szCs w:val="21"/>
              </w:rPr>
            </w:pPr>
            <w:r>
              <w:rPr>
                <w:rFonts w:hint="eastAsia" w:ascii="仿宋_GB2312" w:hAnsi="仿宋_GB2312" w:eastAsia="仿宋_GB2312" w:cs="仿宋_GB2312"/>
                <w:szCs w:val="21"/>
              </w:rPr>
              <w:t>优化图书馆空间布局，加强文献资源建设，积极开展阅读推广活动。</w:t>
            </w:r>
          </w:p>
        </w:tc>
        <w:tc>
          <w:tcPr>
            <w:tcW w:w="1315" w:type="dxa"/>
            <w:vAlign w:val="center"/>
          </w:tcPr>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图书馆</w:t>
            </w:r>
          </w:p>
        </w:tc>
        <w:tc>
          <w:tcPr>
            <w:tcW w:w="1706" w:type="dxa"/>
            <w:vAlign w:val="center"/>
          </w:tcPr>
          <w:p>
            <w:pPr>
              <w:spacing w:line="240" w:lineRule="exact"/>
              <w:jc w:val="center"/>
              <w:rPr>
                <w:rFonts w:ascii="仿宋_GB2312" w:hAnsi="仿宋_GB2312" w:eastAsia="仿宋_GB2312" w:cs="仿宋_GB2312"/>
                <w:szCs w:val="21"/>
              </w:rPr>
            </w:pPr>
          </w:p>
        </w:tc>
        <w:tc>
          <w:tcPr>
            <w:tcW w:w="1138" w:type="dxa"/>
            <w:vAlign w:val="center"/>
          </w:tcPr>
          <w:p>
            <w:pPr>
              <w:spacing w:line="300" w:lineRule="exact"/>
              <w:jc w:val="center"/>
              <w:rPr>
                <w:rFonts w:ascii="仿宋_GB2312" w:hAnsi="仿宋_GB2312" w:eastAsia="仿宋_GB2312" w:cs="仿宋_GB2312"/>
                <w:szCs w:val="21"/>
              </w:rPr>
            </w:pPr>
            <w:r>
              <w:rPr>
                <w:rFonts w:ascii="仿宋_GB2312" w:hAnsi="仿宋_GB2312" w:eastAsia="仿宋_GB2312" w:cs="仿宋_GB2312"/>
                <w:szCs w:val="21"/>
              </w:rPr>
              <w:t>陈景忠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962" w:type="dxa"/>
            <w:vMerge w:val="continue"/>
            <w:vAlign w:val="center"/>
          </w:tcPr>
          <w:p>
            <w:pPr>
              <w:spacing w:line="280" w:lineRule="exact"/>
              <w:jc w:val="center"/>
              <w:rPr>
                <w:rFonts w:ascii="仿宋_GB2312" w:hAnsi="仿宋_GB2312" w:eastAsia="仿宋_GB2312" w:cs="仿宋_GB2312"/>
                <w:szCs w:val="21"/>
              </w:rPr>
            </w:pPr>
          </w:p>
        </w:tc>
        <w:tc>
          <w:tcPr>
            <w:tcW w:w="995" w:type="dxa"/>
            <w:vAlign w:val="center"/>
          </w:tcPr>
          <w:p>
            <w:pPr>
              <w:spacing w:line="280" w:lineRule="exact"/>
              <w:jc w:val="center"/>
              <w:rPr>
                <w:rFonts w:ascii="仿宋_GB2312" w:hAnsi="仿宋_GB2312" w:eastAsia="仿宋_GB2312" w:cs="仿宋_GB2312"/>
                <w:szCs w:val="21"/>
              </w:rPr>
            </w:pPr>
            <w:r>
              <w:rPr>
                <w:rFonts w:hint="eastAsia" w:ascii="仿宋_GB2312" w:hAnsi="仿宋_GB2312" w:eastAsia="仿宋_GB2312" w:cs="仿宋_GB2312"/>
                <w:szCs w:val="21"/>
              </w:rPr>
              <w:t>27.要抓好财务资产管理。</w:t>
            </w:r>
          </w:p>
        </w:tc>
        <w:tc>
          <w:tcPr>
            <w:tcW w:w="8499" w:type="dxa"/>
            <w:vAlign w:val="center"/>
          </w:tcPr>
          <w:p>
            <w:pPr>
              <w:spacing w:line="300" w:lineRule="exact"/>
              <w:jc w:val="left"/>
              <w:rPr>
                <w:rFonts w:ascii="仿宋_GB2312" w:hAnsi="仿宋_GB2312" w:eastAsia="仿宋_GB2312" w:cs="仿宋_GB2312"/>
                <w:szCs w:val="21"/>
              </w:rPr>
            </w:pPr>
            <w:r>
              <w:rPr>
                <w:rFonts w:hint="eastAsia" w:ascii="仿宋_GB2312" w:hAnsi="仿宋_GB2312" w:eastAsia="仿宋_GB2312" w:cs="仿宋_GB2312"/>
                <w:szCs w:val="21"/>
              </w:rPr>
              <w:t>严格落实财务预算要求，完善优化报销系统流程，抓好规范化工作，切实提高财务工作效率和水平。贯彻“统一领导、归口管理、分级负责、责任到人”的原则，建立信息化管理系统，优化资源配置，提高资产使用率。加强招标采购制度建设，强化内部控制，规范采购流程，依法依规操作，做到“公平、公正、公开、阳光透明”。</w:t>
            </w:r>
          </w:p>
        </w:tc>
        <w:tc>
          <w:tcPr>
            <w:tcW w:w="1315" w:type="dxa"/>
            <w:vAlign w:val="center"/>
          </w:tcPr>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财务资产处</w:t>
            </w:r>
          </w:p>
        </w:tc>
        <w:tc>
          <w:tcPr>
            <w:tcW w:w="1706" w:type="dxa"/>
            <w:vAlign w:val="center"/>
          </w:tcPr>
          <w:p>
            <w:pPr>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各处室（馆、中心）、系部</w:t>
            </w:r>
          </w:p>
        </w:tc>
        <w:tc>
          <w:tcPr>
            <w:tcW w:w="1138" w:type="dxa"/>
            <w:vAlign w:val="center"/>
          </w:tcPr>
          <w:p>
            <w:pPr>
              <w:spacing w:line="300" w:lineRule="exact"/>
              <w:jc w:val="center"/>
              <w:rPr>
                <w:rFonts w:ascii="仿宋_GB2312" w:hAnsi="仿宋_GB2312" w:eastAsia="仿宋_GB2312" w:cs="仿宋_GB2312"/>
                <w:szCs w:val="21"/>
              </w:rPr>
            </w:pPr>
            <w:r>
              <w:rPr>
                <w:rFonts w:ascii="仿宋_GB2312" w:hAnsi="仿宋_GB2312" w:eastAsia="仿宋_GB2312" w:cs="仿宋_GB2312"/>
                <w:szCs w:val="21"/>
              </w:rPr>
              <w:t>刘</w:t>
            </w:r>
            <w:r>
              <w:rPr>
                <w:rFonts w:hint="eastAsia" w:ascii="仿宋_GB2312" w:hAnsi="仿宋_GB2312" w:eastAsia="仿宋_GB2312" w:cs="仿宋_GB2312"/>
                <w:szCs w:val="21"/>
              </w:rPr>
              <w:t xml:space="preserve">  </w:t>
            </w:r>
            <w:r>
              <w:rPr>
                <w:rFonts w:ascii="仿宋_GB2312" w:hAnsi="仿宋_GB2312" w:eastAsia="仿宋_GB2312" w:cs="仿宋_GB2312"/>
                <w:szCs w:val="21"/>
              </w:rPr>
              <w:t>壮</w:t>
            </w:r>
          </w:p>
        </w:tc>
      </w:tr>
    </w:tbl>
    <w:p>
      <w:pPr>
        <w:spacing w:line="360" w:lineRule="exact"/>
        <w:jc w:val="left"/>
        <w:rPr>
          <w:rFonts w:ascii="仿宋_GB2312" w:hAnsi="仿宋_GB2312" w:eastAsia="仿宋_GB2312" w:cs="仿宋_GB2312"/>
          <w:bCs/>
          <w:sz w:val="28"/>
          <w:szCs w:val="32"/>
        </w:rPr>
        <w:sectPr>
          <w:pgSz w:w="16838" w:h="11906" w:orient="landscape"/>
          <w:pgMar w:top="1588" w:right="2098" w:bottom="1474" w:left="1701" w:header="851" w:footer="1247" w:gutter="0"/>
          <w:pgNumType w:fmt="numberInDash"/>
          <w:cols w:space="425" w:num="1"/>
          <w:titlePg/>
          <w:docGrid w:type="lines" w:linePitch="579" w:charSpace="-1844"/>
        </w:sectPr>
      </w:pPr>
    </w:p>
    <w:p>
      <w:pPr>
        <w:snapToGrid w:val="0"/>
        <w:spacing w:line="560" w:lineRule="exact"/>
        <w:rPr>
          <w:rFonts w:ascii="仿宋_GB2312" w:eastAsia="仿宋_GB2312"/>
          <w:sz w:val="24"/>
          <w:szCs w:val="28"/>
        </w:rPr>
      </w:pPr>
    </w:p>
    <w:p>
      <w:pPr>
        <w:spacing w:line="560" w:lineRule="exact"/>
        <w:ind w:firstLine="622" w:firstLineChars="200"/>
        <w:jc w:val="right"/>
        <w:rPr>
          <w:rFonts w:ascii="仿宋_GB2312" w:hAnsi="Times New Roman" w:eastAsia="仿宋_GB2312" w:cs="Times New Roman"/>
          <w:color w:val="000000"/>
          <w:sz w:val="32"/>
          <w:szCs w:val="32"/>
        </w:rPr>
      </w:pPr>
    </w:p>
    <w:p>
      <w:pPr>
        <w:spacing w:line="560" w:lineRule="exact"/>
        <w:ind w:firstLine="622" w:firstLineChars="200"/>
        <w:jc w:val="right"/>
        <w:rPr>
          <w:rFonts w:ascii="仿宋_GB2312" w:hAnsi="Times New Roman" w:eastAsia="仿宋_GB2312" w:cs="Times New Roman"/>
          <w:color w:val="000000"/>
          <w:sz w:val="32"/>
          <w:szCs w:val="32"/>
        </w:rPr>
      </w:pPr>
    </w:p>
    <w:p>
      <w:pPr>
        <w:spacing w:line="560" w:lineRule="exact"/>
        <w:ind w:firstLine="622" w:firstLineChars="200"/>
        <w:jc w:val="center"/>
        <w:rPr>
          <w:rFonts w:ascii="仿宋_GB2312" w:hAnsi="Times New Roman" w:eastAsia="仿宋_GB2312" w:cs="Times New Roman"/>
          <w:color w:val="000000"/>
          <w:sz w:val="32"/>
          <w:szCs w:val="32"/>
        </w:rPr>
      </w:pPr>
    </w:p>
    <w:p>
      <w:pPr>
        <w:spacing w:line="560" w:lineRule="exact"/>
        <w:ind w:firstLine="622" w:firstLineChars="200"/>
        <w:jc w:val="center"/>
        <w:rPr>
          <w:rFonts w:ascii="仿宋_GB2312" w:hAnsi="Times New Roman" w:eastAsia="仿宋_GB2312" w:cs="Times New Roman"/>
          <w:color w:val="000000"/>
          <w:sz w:val="32"/>
          <w:szCs w:val="32"/>
        </w:rPr>
      </w:pPr>
    </w:p>
    <w:p>
      <w:pPr>
        <w:spacing w:line="560" w:lineRule="exact"/>
        <w:ind w:firstLine="622" w:firstLineChars="200"/>
        <w:jc w:val="center"/>
        <w:rPr>
          <w:rFonts w:ascii="仿宋_GB2312" w:hAnsi="Times New Roman" w:eastAsia="仿宋_GB2312" w:cs="Times New Roman"/>
          <w:color w:val="000000"/>
          <w:sz w:val="32"/>
          <w:szCs w:val="32"/>
        </w:rPr>
      </w:pPr>
    </w:p>
    <w:p>
      <w:pPr>
        <w:spacing w:line="560" w:lineRule="exact"/>
        <w:ind w:firstLine="622" w:firstLineChars="200"/>
        <w:jc w:val="center"/>
        <w:rPr>
          <w:rFonts w:ascii="仿宋_GB2312" w:hAnsi="Times New Roman" w:eastAsia="仿宋_GB2312" w:cs="Times New Roman"/>
          <w:color w:val="000000"/>
          <w:sz w:val="32"/>
          <w:szCs w:val="32"/>
        </w:rPr>
      </w:pPr>
    </w:p>
    <w:p>
      <w:pPr>
        <w:spacing w:line="560" w:lineRule="exact"/>
        <w:ind w:firstLine="622" w:firstLineChars="200"/>
        <w:jc w:val="center"/>
        <w:rPr>
          <w:rFonts w:ascii="仿宋_GB2312" w:hAnsi="Times New Roman" w:eastAsia="仿宋_GB2312" w:cs="Times New Roman"/>
          <w:color w:val="000000"/>
          <w:sz w:val="32"/>
          <w:szCs w:val="32"/>
        </w:rPr>
      </w:pPr>
    </w:p>
    <w:p>
      <w:pPr>
        <w:spacing w:line="560" w:lineRule="exact"/>
        <w:ind w:firstLine="622" w:firstLineChars="200"/>
        <w:jc w:val="center"/>
        <w:rPr>
          <w:rFonts w:ascii="仿宋_GB2312" w:hAnsi="Times New Roman" w:eastAsia="仿宋_GB2312" w:cs="Times New Roman"/>
          <w:color w:val="000000"/>
          <w:sz w:val="32"/>
          <w:szCs w:val="32"/>
        </w:rPr>
      </w:pPr>
    </w:p>
    <w:p>
      <w:pPr>
        <w:spacing w:line="560" w:lineRule="exact"/>
        <w:ind w:firstLine="622" w:firstLineChars="200"/>
        <w:jc w:val="center"/>
        <w:rPr>
          <w:rFonts w:ascii="仿宋_GB2312" w:hAnsi="Times New Roman" w:eastAsia="仿宋_GB2312" w:cs="Times New Roman"/>
          <w:color w:val="000000"/>
          <w:sz w:val="32"/>
          <w:szCs w:val="32"/>
        </w:rPr>
      </w:pPr>
    </w:p>
    <w:p>
      <w:pPr>
        <w:spacing w:line="560" w:lineRule="exact"/>
        <w:ind w:firstLine="622" w:firstLineChars="200"/>
        <w:jc w:val="center"/>
        <w:rPr>
          <w:rFonts w:ascii="仿宋_GB2312" w:hAnsi="Times New Roman" w:eastAsia="仿宋_GB2312" w:cs="Times New Roman"/>
          <w:color w:val="000000"/>
          <w:sz w:val="32"/>
          <w:szCs w:val="32"/>
        </w:rPr>
      </w:pPr>
    </w:p>
    <w:p>
      <w:pPr>
        <w:spacing w:line="560" w:lineRule="exact"/>
        <w:ind w:firstLine="622" w:firstLineChars="200"/>
        <w:jc w:val="center"/>
        <w:rPr>
          <w:rFonts w:ascii="仿宋_GB2312" w:hAnsi="Times New Roman" w:eastAsia="仿宋_GB2312" w:cs="Times New Roman"/>
          <w:color w:val="000000"/>
          <w:sz w:val="32"/>
          <w:szCs w:val="32"/>
        </w:rPr>
      </w:pPr>
    </w:p>
    <w:p>
      <w:pPr>
        <w:spacing w:line="560" w:lineRule="exact"/>
        <w:ind w:firstLine="622" w:firstLineChars="200"/>
        <w:jc w:val="center"/>
        <w:rPr>
          <w:rFonts w:ascii="仿宋_GB2312" w:hAnsi="Times New Roman" w:eastAsia="仿宋_GB2312" w:cs="Times New Roman"/>
          <w:color w:val="000000"/>
          <w:sz w:val="32"/>
          <w:szCs w:val="32"/>
        </w:rPr>
      </w:pPr>
    </w:p>
    <w:p>
      <w:pPr>
        <w:spacing w:line="560" w:lineRule="exact"/>
        <w:ind w:firstLine="622" w:firstLineChars="200"/>
        <w:jc w:val="center"/>
        <w:rPr>
          <w:rFonts w:ascii="仿宋_GB2312" w:hAnsi="Times New Roman" w:eastAsia="仿宋_GB2312" w:cs="Times New Roman"/>
          <w:color w:val="000000"/>
          <w:sz w:val="32"/>
          <w:szCs w:val="32"/>
        </w:rPr>
      </w:pPr>
    </w:p>
    <w:p>
      <w:pPr>
        <w:spacing w:line="560" w:lineRule="exact"/>
        <w:ind w:firstLine="622" w:firstLineChars="200"/>
        <w:jc w:val="center"/>
        <w:rPr>
          <w:rFonts w:ascii="仿宋_GB2312" w:hAnsi="Times New Roman" w:eastAsia="仿宋_GB2312" w:cs="Times New Roman"/>
          <w:color w:val="000000"/>
          <w:sz w:val="32"/>
          <w:szCs w:val="32"/>
        </w:rPr>
      </w:pPr>
    </w:p>
    <w:p>
      <w:pPr>
        <w:spacing w:line="560" w:lineRule="exact"/>
        <w:ind w:firstLine="622" w:firstLineChars="200"/>
        <w:jc w:val="center"/>
        <w:rPr>
          <w:rFonts w:ascii="仿宋_GB2312" w:hAnsi="Times New Roman" w:eastAsia="仿宋_GB2312" w:cs="Times New Roman"/>
          <w:color w:val="000000"/>
          <w:sz w:val="32"/>
          <w:szCs w:val="32"/>
        </w:rPr>
      </w:pPr>
    </w:p>
    <w:p>
      <w:pPr>
        <w:spacing w:line="560" w:lineRule="exact"/>
        <w:ind w:firstLine="622" w:firstLineChars="200"/>
        <w:jc w:val="center"/>
        <w:rPr>
          <w:rFonts w:ascii="仿宋_GB2312" w:hAnsi="Times New Roman" w:eastAsia="仿宋_GB2312" w:cs="Times New Roman"/>
          <w:color w:val="000000"/>
          <w:sz w:val="32"/>
          <w:szCs w:val="32"/>
        </w:rPr>
      </w:pPr>
    </w:p>
    <w:p>
      <w:pPr>
        <w:spacing w:line="560" w:lineRule="exact"/>
        <w:ind w:firstLine="622" w:firstLineChars="200"/>
        <w:jc w:val="center"/>
        <w:rPr>
          <w:rFonts w:ascii="仿宋_GB2312" w:hAnsi="Times New Roman" w:eastAsia="仿宋_GB2312" w:cs="Times New Roman"/>
          <w:color w:val="000000"/>
          <w:sz w:val="32"/>
          <w:szCs w:val="32"/>
        </w:rPr>
      </w:pPr>
    </w:p>
    <w:p>
      <w:pPr>
        <w:spacing w:line="560" w:lineRule="exact"/>
        <w:ind w:firstLine="622" w:firstLineChars="200"/>
        <w:jc w:val="center"/>
        <w:rPr>
          <w:rFonts w:ascii="仿宋_GB2312" w:hAnsi="Times New Roman" w:eastAsia="仿宋_GB2312" w:cs="Times New Roman"/>
          <w:color w:val="000000"/>
          <w:sz w:val="32"/>
          <w:szCs w:val="32"/>
        </w:rPr>
      </w:pPr>
    </w:p>
    <w:p>
      <w:pPr>
        <w:spacing w:line="560" w:lineRule="exact"/>
        <w:ind w:firstLine="622" w:firstLineChars="200"/>
        <w:jc w:val="center"/>
        <w:rPr>
          <w:rFonts w:ascii="仿宋_GB2312" w:hAnsi="Times New Roman" w:eastAsia="仿宋_GB2312" w:cs="Times New Roman"/>
          <w:color w:val="000000"/>
          <w:sz w:val="32"/>
          <w:szCs w:val="32"/>
        </w:rPr>
      </w:pPr>
    </w:p>
    <w:p>
      <w:pPr>
        <w:spacing w:line="560" w:lineRule="exact"/>
        <w:ind w:firstLine="622" w:firstLineChars="200"/>
        <w:jc w:val="center"/>
        <w:rPr>
          <w:rFonts w:ascii="仿宋_GB2312" w:hAnsi="Times New Roman" w:eastAsia="仿宋_GB2312" w:cs="Times New Roman"/>
          <w:color w:val="000000"/>
          <w:sz w:val="32"/>
          <w:szCs w:val="32"/>
        </w:rPr>
      </w:pPr>
    </w:p>
    <w:p>
      <w:pPr>
        <w:spacing w:line="560" w:lineRule="exact"/>
        <w:ind w:firstLine="622" w:firstLineChars="200"/>
        <w:jc w:val="center"/>
        <w:rPr>
          <w:rFonts w:ascii="仿宋_GB2312" w:hAnsi="Times New Roman" w:eastAsia="仿宋_GB2312" w:cs="Times New Roman"/>
          <w:color w:val="000000"/>
          <w:sz w:val="32"/>
          <w:szCs w:val="32"/>
        </w:rPr>
      </w:pPr>
    </w:p>
    <w:p>
      <w:pPr>
        <w:spacing w:line="560" w:lineRule="exact"/>
        <w:ind w:firstLine="622" w:firstLineChars="200"/>
        <w:jc w:val="center"/>
        <w:rPr>
          <w:rFonts w:ascii="仿宋_GB2312" w:hAnsi="Times New Roman" w:eastAsia="仿宋_GB2312" w:cs="Times New Roman"/>
          <w:color w:val="000000"/>
          <w:sz w:val="32"/>
          <w:szCs w:val="32"/>
        </w:rPr>
      </w:pPr>
    </w:p>
    <w:p>
      <w:pPr>
        <w:spacing w:line="560" w:lineRule="exact"/>
        <w:ind w:firstLine="622" w:firstLineChars="200"/>
        <w:jc w:val="center"/>
        <w:rPr>
          <w:rFonts w:ascii="仿宋_GB2312" w:hAnsi="Times New Roman" w:eastAsia="仿宋_GB2312" w:cs="Times New Roman"/>
          <w:color w:val="000000"/>
          <w:sz w:val="32"/>
          <w:szCs w:val="32"/>
        </w:rPr>
      </w:pPr>
    </w:p>
    <w:p>
      <w:pPr>
        <w:spacing w:line="560" w:lineRule="exact"/>
        <w:ind w:firstLine="622" w:firstLineChars="200"/>
        <w:jc w:val="center"/>
        <w:rPr>
          <w:rFonts w:ascii="仿宋_GB2312" w:hAnsi="Times New Roman" w:eastAsia="仿宋_GB2312" w:cs="Times New Roman"/>
          <w:color w:val="000000"/>
          <w:sz w:val="32"/>
          <w:szCs w:val="32"/>
        </w:rPr>
      </w:pPr>
    </w:p>
    <w:p>
      <w:pPr>
        <w:spacing w:line="560" w:lineRule="exact"/>
        <w:ind w:firstLine="622" w:firstLineChars="200"/>
        <w:jc w:val="center"/>
        <w:rPr>
          <w:rFonts w:ascii="仿宋_GB2312" w:hAnsi="Times New Roman" w:eastAsia="仿宋_GB2312" w:cs="Times New Roman"/>
          <w:color w:val="000000"/>
          <w:sz w:val="32"/>
          <w:szCs w:val="32"/>
        </w:rPr>
      </w:pPr>
    </w:p>
    <w:p>
      <w:pPr>
        <w:spacing w:line="560" w:lineRule="exact"/>
        <w:ind w:firstLine="622" w:firstLineChars="200"/>
        <w:jc w:val="center"/>
        <w:rPr>
          <w:rFonts w:ascii="仿宋_GB2312" w:hAnsi="Times New Roman" w:eastAsia="仿宋_GB2312" w:cs="Times New Roman"/>
          <w:color w:val="000000"/>
          <w:sz w:val="32"/>
          <w:szCs w:val="32"/>
        </w:rPr>
      </w:pPr>
    </w:p>
    <w:p>
      <w:pPr>
        <w:spacing w:line="560" w:lineRule="exact"/>
        <w:ind w:firstLine="622" w:firstLineChars="200"/>
        <w:jc w:val="center"/>
        <w:rPr>
          <w:rFonts w:ascii="仿宋_GB2312" w:hAnsi="Times New Roman" w:eastAsia="仿宋_GB2312" w:cs="Times New Roman"/>
          <w:color w:val="000000"/>
          <w:sz w:val="32"/>
          <w:szCs w:val="32"/>
        </w:rPr>
      </w:pPr>
    </w:p>
    <w:p>
      <w:pPr>
        <w:spacing w:line="560" w:lineRule="exact"/>
        <w:ind w:firstLine="622" w:firstLineChars="200"/>
        <w:jc w:val="center"/>
        <w:rPr>
          <w:rFonts w:ascii="仿宋_GB2312" w:hAnsi="Times New Roman" w:eastAsia="仿宋_GB2312" w:cs="Times New Roman"/>
          <w:color w:val="000000"/>
          <w:sz w:val="32"/>
          <w:szCs w:val="32"/>
        </w:rPr>
      </w:pPr>
    </w:p>
    <w:p>
      <w:pPr>
        <w:spacing w:line="560" w:lineRule="exact"/>
        <w:ind w:firstLine="622" w:firstLineChars="200"/>
        <w:jc w:val="center"/>
        <w:rPr>
          <w:rFonts w:ascii="仿宋_GB2312" w:hAnsi="Times New Roman" w:eastAsia="仿宋_GB2312" w:cs="Times New Roman"/>
          <w:color w:val="000000"/>
          <w:sz w:val="32"/>
          <w:szCs w:val="32"/>
        </w:rPr>
      </w:pPr>
    </w:p>
    <w:p>
      <w:pPr>
        <w:spacing w:line="560" w:lineRule="exact"/>
        <w:ind w:firstLine="622" w:firstLineChars="200"/>
        <w:jc w:val="center"/>
        <w:rPr>
          <w:rFonts w:ascii="仿宋_GB2312" w:hAnsi="Times New Roman" w:eastAsia="仿宋_GB2312" w:cs="Times New Roman"/>
          <w:color w:val="000000"/>
          <w:sz w:val="32"/>
          <w:szCs w:val="32"/>
        </w:rPr>
      </w:pPr>
    </w:p>
    <w:p>
      <w:pPr>
        <w:spacing w:line="560" w:lineRule="exact"/>
        <w:ind w:firstLine="622" w:firstLineChars="200"/>
        <w:jc w:val="center"/>
        <w:rPr>
          <w:rFonts w:ascii="仿宋_GB2312" w:hAnsi="Times New Roman" w:eastAsia="仿宋_GB2312" w:cs="Times New Roman"/>
          <w:color w:val="000000"/>
          <w:sz w:val="32"/>
          <w:szCs w:val="32"/>
        </w:rPr>
      </w:pPr>
    </w:p>
    <w:p>
      <w:pPr>
        <w:spacing w:line="560" w:lineRule="exact"/>
        <w:ind w:firstLine="622" w:firstLineChars="200"/>
        <w:jc w:val="center"/>
        <w:rPr>
          <w:rFonts w:ascii="仿宋_GB2312" w:hAnsi="Times New Roman" w:eastAsia="仿宋_GB2312" w:cs="Times New Roman"/>
          <w:color w:val="000000"/>
          <w:sz w:val="32"/>
          <w:szCs w:val="32"/>
        </w:rPr>
      </w:pPr>
    </w:p>
    <w:p>
      <w:pPr>
        <w:spacing w:line="560" w:lineRule="exact"/>
        <w:ind w:firstLine="622" w:firstLineChars="200"/>
        <w:jc w:val="center"/>
        <w:rPr>
          <w:rFonts w:ascii="仿宋_GB2312" w:hAnsi="Times New Roman" w:eastAsia="仿宋_GB2312" w:cs="Times New Roman"/>
          <w:color w:val="000000"/>
          <w:sz w:val="32"/>
          <w:szCs w:val="32"/>
        </w:rPr>
      </w:pPr>
    </w:p>
    <w:p>
      <w:pPr>
        <w:spacing w:line="560" w:lineRule="exact"/>
        <w:ind w:firstLine="622" w:firstLineChars="200"/>
        <w:jc w:val="center"/>
        <w:rPr>
          <w:rFonts w:ascii="仿宋_GB2312" w:hAnsi="Times New Roman" w:eastAsia="仿宋_GB2312" w:cs="Times New Roman"/>
          <w:color w:val="000000"/>
          <w:sz w:val="32"/>
          <w:szCs w:val="32"/>
        </w:rPr>
      </w:pPr>
    </w:p>
    <w:p>
      <w:pPr>
        <w:spacing w:line="560" w:lineRule="exact"/>
        <w:ind w:firstLine="622" w:firstLineChars="200"/>
        <w:jc w:val="center"/>
        <w:rPr>
          <w:rFonts w:ascii="仿宋_GB2312" w:hAnsi="Times New Roman" w:eastAsia="仿宋_GB2312" w:cs="Times New Roman"/>
          <w:color w:val="000000"/>
          <w:sz w:val="32"/>
          <w:szCs w:val="32"/>
        </w:rPr>
      </w:pPr>
    </w:p>
    <w:p>
      <w:pPr>
        <w:spacing w:line="560" w:lineRule="exact"/>
        <w:ind w:firstLine="622" w:firstLineChars="200"/>
        <w:jc w:val="center"/>
        <w:rPr>
          <w:rFonts w:ascii="仿宋_GB2312" w:hAnsi="Times New Roman" w:eastAsia="仿宋_GB2312" w:cs="Times New Roman"/>
          <w:color w:val="000000"/>
          <w:sz w:val="32"/>
          <w:szCs w:val="32"/>
        </w:rPr>
      </w:pPr>
    </w:p>
    <w:p>
      <w:pPr>
        <w:spacing w:line="560" w:lineRule="exact"/>
        <w:ind w:firstLine="622" w:firstLineChars="200"/>
        <w:jc w:val="center"/>
        <w:rPr>
          <w:rFonts w:ascii="仿宋_GB2312" w:hAnsi="Times New Roman" w:eastAsia="仿宋_GB2312" w:cs="Times New Roman"/>
          <w:color w:val="000000"/>
          <w:sz w:val="32"/>
          <w:szCs w:val="32"/>
        </w:rPr>
      </w:pPr>
    </w:p>
    <w:p>
      <w:pPr>
        <w:spacing w:line="560" w:lineRule="exact"/>
        <w:ind w:firstLine="622" w:firstLineChars="200"/>
        <w:jc w:val="center"/>
        <w:rPr>
          <w:rFonts w:ascii="仿宋_GB2312" w:hAnsi="Times New Roman" w:eastAsia="仿宋_GB2312" w:cs="Times New Roman"/>
          <w:color w:val="000000"/>
          <w:sz w:val="32"/>
          <w:szCs w:val="32"/>
        </w:rPr>
      </w:pPr>
    </w:p>
    <w:p>
      <w:pPr>
        <w:spacing w:line="560" w:lineRule="exact"/>
        <w:ind w:firstLine="622" w:firstLineChars="200"/>
        <w:jc w:val="center"/>
        <w:rPr>
          <w:rFonts w:ascii="仿宋_GB2312" w:hAnsi="Times New Roman" w:eastAsia="仿宋_GB2312" w:cs="Times New Roman"/>
          <w:color w:val="000000"/>
          <w:sz w:val="32"/>
          <w:szCs w:val="32"/>
        </w:rPr>
      </w:pPr>
    </w:p>
    <w:p>
      <w:pPr>
        <w:spacing w:line="560" w:lineRule="exact"/>
        <w:ind w:firstLine="622" w:firstLineChars="200"/>
        <w:jc w:val="center"/>
        <w:rPr>
          <w:rFonts w:ascii="仿宋_GB2312" w:hAnsi="Times New Roman" w:eastAsia="仿宋_GB2312" w:cs="Times New Roman"/>
          <w:color w:val="000000"/>
          <w:sz w:val="32"/>
          <w:szCs w:val="32"/>
        </w:rPr>
      </w:pPr>
    </w:p>
    <w:p>
      <w:pPr>
        <w:spacing w:line="560" w:lineRule="exact"/>
        <w:ind w:firstLine="622" w:firstLineChars="200"/>
        <w:jc w:val="center"/>
        <w:rPr>
          <w:rFonts w:ascii="仿宋_GB2312" w:hAnsi="Times New Roman" w:eastAsia="仿宋_GB2312" w:cs="Times New Roman"/>
          <w:color w:val="000000"/>
          <w:sz w:val="32"/>
          <w:szCs w:val="32"/>
        </w:rPr>
      </w:pPr>
    </w:p>
    <w:p>
      <w:pPr>
        <w:spacing w:line="560" w:lineRule="exact"/>
        <w:ind w:firstLine="622" w:firstLineChars="200"/>
        <w:jc w:val="center"/>
        <w:rPr>
          <w:rFonts w:ascii="仿宋_GB2312" w:hAnsi="Times New Roman" w:eastAsia="仿宋_GB2312" w:cs="Times New Roman"/>
          <w:color w:val="000000"/>
          <w:sz w:val="32"/>
          <w:szCs w:val="32"/>
        </w:rPr>
      </w:pPr>
    </w:p>
    <w:p>
      <w:pPr>
        <w:spacing w:line="560" w:lineRule="exact"/>
        <w:ind w:firstLine="402" w:firstLineChars="200"/>
        <w:jc w:val="center"/>
        <w:rPr>
          <w:rFonts w:ascii="Times New Roman" w:hAnsi="Times New Roman" w:eastAsia="仿宋_GB2312" w:cs="Times New Roman"/>
          <w:color w:val="000000"/>
        </w:rPr>
      </w:pPr>
    </w:p>
    <w:p>
      <w:pPr>
        <w:adjustRightInd w:val="0"/>
        <w:snapToGrid w:val="0"/>
        <w:spacing w:line="560" w:lineRule="exact"/>
        <w:rPr>
          <w:rFonts w:ascii="Times New Roman" w:hAnsi="Times New Roman" w:eastAsia="宋体" w:cs="Times New Roman"/>
          <w:szCs w:val="20"/>
        </w:rPr>
      </w:pPr>
      <w:r>
        <w:rPr>
          <w:rFonts w:hint="eastAsia" w:ascii="仿宋_GB2312" w:hAnsi="Times New Roman" w:eastAsia="仿宋_GB2312" w:cs="Times New Roman"/>
          <w:sz w:val="32"/>
          <w:szCs w:val="32"/>
        </w:rPr>
        <w:t xml:space="preserve"> </w:t>
      </w:r>
    </w:p>
    <w:p>
      <w:pPr>
        <w:snapToGrid w:val="0"/>
        <w:spacing w:line="560" w:lineRule="exact"/>
        <w:rPr>
          <w:rFonts w:ascii="仿宋_GB2312" w:eastAsia="仿宋_GB2312"/>
          <w:sz w:val="24"/>
          <w:szCs w:val="28"/>
        </w:rPr>
      </w:pPr>
      <w:r>
        <w:rPr>
          <w:rFonts w:ascii="仿宋_GB2312" w:eastAsia="仿宋_GB2312"/>
          <w:sz w:val="24"/>
          <w:szCs w:val="28"/>
        </w:rPr>
        <mc:AlternateContent>
          <mc:Choice Requires="wps">
            <w:drawing>
              <wp:anchor distT="0" distB="0" distL="114300" distR="114300" simplePos="0" relativeHeight="251659264" behindDoc="0" locked="0" layoutInCell="1" allowOverlap="1">
                <wp:simplePos x="0" y="0"/>
                <wp:positionH relativeFrom="column">
                  <wp:posOffset>-8255</wp:posOffset>
                </wp:positionH>
                <wp:positionV relativeFrom="paragraph">
                  <wp:posOffset>28575</wp:posOffset>
                </wp:positionV>
                <wp:extent cx="5615940" cy="0"/>
                <wp:effectExtent l="0" t="0" r="22860" b="19050"/>
                <wp:wrapNone/>
                <wp:docPr id="4" name="直接连接符 4"/>
                <wp:cNvGraphicFramePr/>
                <a:graphic xmlns:a="http://schemas.openxmlformats.org/drawingml/2006/main">
                  <a:graphicData uri="http://schemas.microsoft.com/office/word/2010/wordprocessingShape">
                    <wps:wsp>
                      <wps:cNvCnPr/>
                      <wps:spPr>
                        <a:xfrm>
                          <a:off x="0" y="0"/>
                          <a:ext cx="5615940" cy="0"/>
                        </a:xfrm>
                        <a:prstGeom prst="line">
                          <a:avLst/>
                        </a:prstGeom>
                        <a:ln w="444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65pt;margin-top:2.25pt;height:0pt;width:442.2pt;z-index:251659264;mso-width-relative:page;mso-height-relative:page;" filled="f" stroked="t" coordsize="21600,21600" o:gfxdata="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BOak291gAAAAYBAAAPAAAAAAAAAAEA&#10;IAAAACIAAABkcnMvZG93bnJldi54bWxQSwECFAAUAAAACACHTuJAUSBOktgBAACaAwAADgAAAAAA&#10;AAABACAAAAAlAQAAZHJzL2Uyb0RvYy54bWxQSwUGAAAAAAYABgBZAQAAbwUAAAAA&#10;">
                <v:fill on="f" focussize="0,0"/>
                <v:stroke weight="0.35pt" color="#000000 [3213]" joinstyle="round"/>
                <v:imagedata o:title=""/>
                <o:lock v:ext="edit" aspectratio="f"/>
              </v:line>
            </w:pict>
          </mc:Fallback>
        </mc:AlternateContent>
      </w:r>
      <w:r>
        <w:rPr>
          <w:rFonts w:ascii="仿宋_GB2312" w:eastAsia="仿宋_GB2312"/>
          <w:sz w:val="24"/>
          <w:szCs w:val="28"/>
        </w:rPr>
        <mc:AlternateContent>
          <mc:Choice Requires="wps">
            <w:drawing>
              <wp:anchor distT="0" distB="0" distL="114300" distR="114300" simplePos="0" relativeHeight="251660288" behindDoc="0" locked="0" layoutInCell="1" allowOverlap="1">
                <wp:simplePos x="0" y="0"/>
                <wp:positionH relativeFrom="column">
                  <wp:posOffset>-8255</wp:posOffset>
                </wp:positionH>
                <wp:positionV relativeFrom="paragraph">
                  <wp:posOffset>387350</wp:posOffset>
                </wp:positionV>
                <wp:extent cx="5615940" cy="0"/>
                <wp:effectExtent l="0" t="0" r="22860" b="19050"/>
                <wp:wrapNone/>
                <wp:docPr id="6" name="直接连接符 6"/>
                <wp:cNvGraphicFramePr/>
                <a:graphic xmlns:a="http://schemas.openxmlformats.org/drawingml/2006/main">
                  <a:graphicData uri="http://schemas.microsoft.com/office/word/2010/wordprocessingShape">
                    <wps:wsp>
                      <wps:cNvCnPr/>
                      <wps:spPr>
                        <a:xfrm>
                          <a:off x="0" y="0"/>
                          <a:ext cx="5615940" cy="0"/>
                        </a:xfrm>
                        <a:prstGeom prst="line">
                          <a:avLst/>
                        </a:prstGeom>
                        <a:ln w="444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65pt;margin-top:30.5pt;height:0pt;width:442.2pt;z-index:251660288;mso-width-relative:page;mso-height-relative:page;" filled="f" stroked="t" coordsize="21600,21600" o:gfxdata="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c/f49NcAAAAIAQAADwAAAAAAAAAB&#10;ACAAAAAiAAAAZHJzL2Rvd25yZXYueG1sUEsBAhQAFAAAAAgAh07iQKPaVTDYAQAAmgMAAA4AAAAA&#10;AAAAAQAgAAAAJgEAAGRycy9lMm9Eb2MueG1sUEsFBgAAAAAGAAYAWQEAAHAFAAAAAA==&#10;">
                <v:fill on="f" focussize="0,0"/>
                <v:stroke weight="0.35pt" color="#000000 [3213]" joinstyle="round"/>
                <v:imagedata o:title=""/>
                <o:lock v:ext="edit" aspectratio="f"/>
              </v:line>
            </w:pict>
          </mc:Fallback>
        </mc:AlternateContent>
      </w:r>
      <w:r>
        <w:rPr>
          <w:rFonts w:hint="eastAsia" w:ascii="仿宋_GB2312" w:eastAsia="仿宋_GB2312"/>
          <w:sz w:val="24"/>
          <w:szCs w:val="28"/>
        </w:rPr>
        <w:t xml:space="preserve"> </w:t>
      </w:r>
      <w:r>
        <w:rPr>
          <w:rFonts w:hint="eastAsia" w:ascii="仿宋_GB2312" w:eastAsia="仿宋_GB2312"/>
          <w:sz w:val="28"/>
          <w:szCs w:val="28"/>
        </w:rPr>
        <w:t>威海海洋职业学院党政办公室                 2021年3月16日印发</w:t>
      </w:r>
    </w:p>
    <w:sectPr>
      <w:footerReference r:id="rId6" w:type="first"/>
      <w:footerReference r:id="rId5" w:type="default"/>
      <w:pgSz w:w="11906" w:h="16838"/>
      <w:pgMar w:top="2098" w:right="1474" w:bottom="1701" w:left="1588" w:header="851" w:footer="1247" w:gutter="0"/>
      <w:pgNumType w:fmt="numberInDash"/>
      <w:cols w:space="425" w:num="1"/>
      <w:titlePg/>
      <w:docGrid w:type="linesAndChars"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方正舒体"/>
    <w:panose1 w:val="03000509000000000000"/>
    <w:charset w:val="86"/>
    <w:family w:val="script"/>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51058262"/>
    </w:sdtPr>
    <w:sdtContent>
      <w:p>
        <w:pPr>
          <w:pStyle w:val="4"/>
          <w:jc w:val="right"/>
        </w:pP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2 -</w:t>
        </w:r>
        <w:r>
          <w:rPr>
            <w:rFonts w:asciiTheme="minorEastAsia" w:hAnsiTheme="minorEastAsia"/>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27270531"/>
    </w:sdtPr>
    <w:sdtEndPr>
      <w:rPr>
        <w:rFonts w:asciiTheme="minorEastAsia" w:hAnsiTheme="minorEastAsia"/>
        <w:sz w:val="28"/>
        <w:szCs w:val="28"/>
      </w:rPr>
    </w:sdtEndPr>
    <w:sdtContent>
      <w:p>
        <w:pPr>
          <w:pStyle w:val="4"/>
        </w:pP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1 -</w:t>
        </w:r>
        <w:r>
          <w:rPr>
            <w:rFonts w:asciiTheme="minorEastAsia" w:hAnsiTheme="minorEastAsia"/>
            <w:sz w:val="28"/>
            <w:szCs w:val="28"/>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4307659"/>
      <w:docPartObj>
        <w:docPartGallery w:val="AutoText"/>
      </w:docPartObj>
    </w:sdtPr>
    <w:sdtContent>
      <w:p>
        <w:pPr>
          <w:pStyle w:val="4"/>
          <w:jc w:val="right"/>
        </w:pP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18 -</w:t>
        </w:r>
        <w:r>
          <w:rPr>
            <w:rFonts w:asciiTheme="minorEastAsia" w:hAnsiTheme="minorEastAsia"/>
            <w:sz w:val="28"/>
            <w:szCs w:val="28"/>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3313924"/>
      <w:docPartObj>
        <w:docPartGallery w:val="AutoText"/>
      </w:docPartObj>
    </w:sdtPr>
    <w:sdtEndPr>
      <w:rPr>
        <w:rFonts w:asciiTheme="minorEastAsia" w:hAnsiTheme="minorEastAsia"/>
        <w:sz w:val="28"/>
        <w:szCs w:val="28"/>
      </w:rPr>
    </w:sdtEndPr>
    <w:sdtContent>
      <w:p>
        <w:pPr>
          <w:pStyle w:val="4"/>
        </w:pP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17 -</w:t>
        </w:r>
        <w:r>
          <w:rPr>
            <w:rFonts w:asciiTheme="minorEastAsia" w:hAnsiTheme="minorEastAsia"/>
            <w:sz w:val="28"/>
            <w:szCs w:val="28"/>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201"/>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RjOTNiZTNjOTYzZjk3YjFhMjc0NzEwNjNjYTUzZDYifQ=="/>
  </w:docVars>
  <w:rsids>
    <w:rsidRoot w:val="00BA2446"/>
    <w:rsid w:val="00035ABB"/>
    <w:rsid w:val="00070EFB"/>
    <w:rsid w:val="000C4CA2"/>
    <w:rsid w:val="000C72FD"/>
    <w:rsid w:val="000F4955"/>
    <w:rsid w:val="001111CB"/>
    <w:rsid w:val="00111AA1"/>
    <w:rsid w:val="00126268"/>
    <w:rsid w:val="00144096"/>
    <w:rsid w:val="00171F02"/>
    <w:rsid w:val="00193F5C"/>
    <w:rsid w:val="001A6675"/>
    <w:rsid w:val="001B6979"/>
    <w:rsid w:val="001D1CBB"/>
    <w:rsid w:val="001D4464"/>
    <w:rsid w:val="0021612C"/>
    <w:rsid w:val="00220B4C"/>
    <w:rsid w:val="00246FEB"/>
    <w:rsid w:val="00260031"/>
    <w:rsid w:val="00283256"/>
    <w:rsid w:val="00284D29"/>
    <w:rsid w:val="00295FF8"/>
    <w:rsid w:val="00306188"/>
    <w:rsid w:val="0032098C"/>
    <w:rsid w:val="00321DF3"/>
    <w:rsid w:val="00330DF0"/>
    <w:rsid w:val="003B367F"/>
    <w:rsid w:val="003E05D4"/>
    <w:rsid w:val="00411FE2"/>
    <w:rsid w:val="00422809"/>
    <w:rsid w:val="00437E87"/>
    <w:rsid w:val="00464C71"/>
    <w:rsid w:val="00475317"/>
    <w:rsid w:val="004830DE"/>
    <w:rsid w:val="004924F7"/>
    <w:rsid w:val="004D7C0C"/>
    <w:rsid w:val="004F5202"/>
    <w:rsid w:val="004F67D7"/>
    <w:rsid w:val="00537A85"/>
    <w:rsid w:val="00556CED"/>
    <w:rsid w:val="005959EC"/>
    <w:rsid w:val="005B5A07"/>
    <w:rsid w:val="005E71E2"/>
    <w:rsid w:val="005F5EDC"/>
    <w:rsid w:val="0061292C"/>
    <w:rsid w:val="00615D05"/>
    <w:rsid w:val="0062042F"/>
    <w:rsid w:val="006244AA"/>
    <w:rsid w:val="00635633"/>
    <w:rsid w:val="0064671E"/>
    <w:rsid w:val="0065779B"/>
    <w:rsid w:val="00666699"/>
    <w:rsid w:val="006718AE"/>
    <w:rsid w:val="00696F86"/>
    <w:rsid w:val="006C1D0D"/>
    <w:rsid w:val="006C28FD"/>
    <w:rsid w:val="006D1C59"/>
    <w:rsid w:val="006D41D4"/>
    <w:rsid w:val="006D6F06"/>
    <w:rsid w:val="006E2B0A"/>
    <w:rsid w:val="006E4D62"/>
    <w:rsid w:val="006F1B86"/>
    <w:rsid w:val="007170AC"/>
    <w:rsid w:val="00731B99"/>
    <w:rsid w:val="00757165"/>
    <w:rsid w:val="007B19DE"/>
    <w:rsid w:val="007C25C3"/>
    <w:rsid w:val="007D74CC"/>
    <w:rsid w:val="007E7645"/>
    <w:rsid w:val="008346D6"/>
    <w:rsid w:val="00835F8E"/>
    <w:rsid w:val="00856860"/>
    <w:rsid w:val="008A58B4"/>
    <w:rsid w:val="008E7F30"/>
    <w:rsid w:val="00931521"/>
    <w:rsid w:val="0093271E"/>
    <w:rsid w:val="00974C33"/>
    <w:rsid w:val="009A7EB9"/>
    <w:rsid w:val="009E00B0"/>
    <w:rsid w:val="009E2E33"/>
    <w:rsid w:val="00A03F82"/>
    <w:rsid w:val="00A2608D"/>
    <w:rsid w:val="00A40849"/>
    <w:rsid w:val="00A538F3"/>
    <w:rsid w:val="00A53D5D"/>
    <w:rsid w:val="00A63E13"/>
    <w:rsid w:val="00A70A9B"/>
    <w:rsid w:val="00A87E1C"/>
    <w:rsid w:val="00A96E5A"/>
    <w:rsid w:val="00AB0843"/>
    <w:rsid w:val="00AF42D2"/>
    <w:rsid w:val="00B23415"/>
    <w:rsid w:val="00B41741"/>
    <w:rsid w:val="00B53D02"/>
    <w:rsid w:val="00B726A9"/>
    <w:rsid w:val="00B75373"/>
    <w:rsid w:val="00B860DC"/>
    <w:rsid w:val="00B9489B"/>
    <w:rsid w:val="00BA2446"/>
    <w:rsid w:val="00BB7392"/>
    <w:rsid w:val="00BD657E"/>
    <w:rsid w:val="00C35601"/>
    <w:rsid w:val="00C35F87"/>
    <w:rsid w:val="00C722E2"/>
    <w:rsid w:val="00CB1C74"/>
    <w:rsid w:val="00CD2877"/>
    <w:rsid w:val="00D17FDD"/>
    <w:rsid w:val="00D2247B"/>
    <w:rsid w:val="00D737CB"/>
    <w:rsid w:val="00D82ECD"/>
    <w:rsid w:val="00DC16D9"/>
    <w:rsid w:val="00DD1288"/>
    <w:rsid w:val="00DE0F15"/>
    <w:rsid w:val="00E0069E"/>
    <w:rsid w:val="00E060C5"/>
    <w:rsid w:val="00E11250"/>
    <w:rsid w:val="00EC2405"/>
    <w:rsid w:val="00ED67FF"/>
    <w:rsid w:val="00EE63AD"/>
    <w:rsid w:val="00EF0C0F"/>
    <w:rsid w:val="00F02A29"/>
    <w:rsid w:val="00F04734"/>
    <w:rsid w:val="00F6511D"/>
    <w:rsid w:val="00F70CA9"/>
    <w:rsid w:val="00F745B6"/>
    <w:rsid w:val="00F7514C"/>
    <w:rsid w:val="00FA0B9D"/>
    <w:rsid w:val="00FF2704"/>
    <w:rsid w:val="019575C7"/>
    <w:rsid w:val="0351428A"/>
    <w:rsid w:val="04B641F8"/>
    <w:rsid w:val="0533078B"/>
    <w:rsid w:val="064A3CE9"/>
    <w:rsid w:val="068863DA"/>
    <w:rsid w:val="0840145F"/>
    <w:rsid w:val="09BE69EE"/>
    <w:rsid w:val="0F5C3502"/>
    <w:rsid w:val="165843B2"/>
    <w:rsid w:val="1684786C"/>
    <w:rsid w:val="17680E66"/>
    <w:rsid w:val="1C8F4642"/>
    <w:rsid w:val="1E48005C"/>
    <w:rsid w:val="1E9D6F72"/>
    <w:rsid w:val="1F040867"/>
    <w:rsid w:val="23135CCF"/>
    <w:rsid w:val="273D11A1"/>
    <w:rsid w:val="28066A40"/>
    <w:rsid w:val="2A9A4CBF"/>
    <w:rsid w:val="31E84E51"/>
    <w:rsid w:val="33A86B76"/>
    <w:rsid w:val="35963A00"/>
    <w:rsid w:val="3ADB12C7"/>
    <w:rsid w:val="3B032767"/>
    <w:rsid w:val="3E974BDB"/>
    <w:rsid w:val="46D57A3A"/>
    <w:rsid w:val="47120B05"/>
    <w:rsid w:val="48317EC3"/>
    <w:rsid w:val="49A4561F"/>
    <w:rsid w:val="4B3B6A60"/>
    <w:rsid w:val="4C104F20"/>
    <w:rsid w:val="5447078A"/>
    <w:rsid w:val="62CA38C7"/>
    <w:rsid w:val="634B2727"/>
    <w:rsid w:val="68D30860"/>
    <w:rsid w:val="6D1D1545"/>
    <w:rsid w:val="701F5380"/>
    <w:rsid w:val="750C5FF2"/>
    <w:rsid w:val="75846016"/>
    <w:rsid w:val="7C542BF6"/>
    <w:rsid w:val="7E5B6FC2"/>
    <w:rsid w:val="7E9477FA"/>
    <w:rsid w:val="7FC173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11"/>
    <w:semiHidden/>
    <w:unhideWhenUsed/>
    <w:uiPriority w:val="99"/>
    <w:pPr>
      <w:ind w:left="100" w:leftChars="2500"/>
    </w:pPr>
  </w:style>
  <w:style w:type="paragraph" w:styleId="3">
    <w:name w:val="Balloon Text"/>
    <w:basedOn w:val="1"/>
    <w:link w:val="10"/>
    <w:semiHidden/>
    <w:unhideWhenUsed/>
    <w:qFormat/>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qFormat/>
    <w:uiPriority w:val="99"/>
    <w:rPr>
      <w:sz w:val="18"/>
      <w:szCs w:val="18"/>
    </w:rPr>
  </w:style>
  <w:style w:type="character" w:customStyle="1" w:styleId="9">
    <w:name w:val="页脚 Char"/>
    <w:basedOn w:val="7"/>
    <w:link w:val="4"/>
    <w:qFormat/>
    <w:uiPriority w:val="99"/>
    <w:rPr>
      <w:sz w:val="18"/>
      <w:szCs w:val="18"/>
    </w:rPr>
  </w:style>
  <w:style w:type="character" w:customStyle="1" w:styleId="10">
    <w:name w:val="批注框文本 Char"/>
    <w:basedOn w:val="7"/>
    <w:link w:val="3"/>
    <w:semiHidden/>
    <w:qFormat/>
    <w:uiPriority w:val="99"/>
    <w:rPr>
      <w:sz w:val="18"/>
      <w:szCs w:val="18"/>
    </w:rPr>
  </w:style>
  <w:style w:type="character" w:customStyle="1" w:styleId="11">
    <w:name w:val="日期 Char"/>
    <w:basedOn w:val="7"/>
    <w:link w:val="2"/>
    <w:semiHidden/>
    <w:uiPriority w:val="99"/>
    <w:rPr>
      <w:rFonts w:asciiTheme="minorHAnsi" w:hAnsiTheme="minorHAnsi" w:eastAsiaTheme="minorEastAsia" w:cstheme="minorBidi"/>
      <w:kern w:val="2"/>
      <w:sz w:val="21"/>
      <w:szCs w:val="22"/>
    </w:rPr>
  </w:style>
  <w:style w:type="paragraph" w:customStyle="1" w:styleId="12">
    <w:name w:val="Default"/>
    <w:unhideWhenUsed/>
    <w:qFormat/>
    <w:uiPriority w:val="99"/>
    <w:pPr>
      <w:widowControl w:val="0"/>
      <w:autoSpaceDE w:val="0"/>
      <w:autoSpaceDN w:val="0"/>
      <w:adjustRightInd w:val="0"/>
    </w:pPr>
    <w:rPr>
      <w:rFonts w:hint="eastAsia" w:ascii="方正小标宋简体" w:hAnsi="方正小标宋简体" w:eastAsia="方正小标宋简体" w:cs="Times New Roman"/>
      <w:color w:val="000000"/>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51BB1EF-49FF-4ACC-A516-766078AC4FED}">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18</Pages>
  <Words>11419</Words>
  <Characters>11623</Characters>
  <Lines>87</Lines>
  <Paragraphs>24</Paragraphs>
  <TotalTime>1</TotalTime>
  <ScaleCrop>false</ScaleCrop>
  <LinksUpToDate>false</LinksUpToDate>
  <CharactersWithSpaces>11686</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2021-03-15T06:45:00Z</dcterms:created>
  <dc:creator>Administrator</dc:creator>
  <cp:lastModifiedBy>daisy</cp:lastModifiedBy>
  <cp:lastPrinted>2020-01-16T02:13:00Z</cp:lastPrinted>
  <dcterms:modified xsi:type="dcterms:W3CDTF">2022-08-11T04:52:02Z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07E25E74FCD342DA844DF15502EABB85</vt:lpwstr>
  </property>
</Properties>
</file>